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15A81" w14:textId="77777777" w:rsidR="00106ECE" w:rsidRPr="002A6CEF" w:rsidRDefault="00106ECE" w:rsidP="00CC3AD0">
      <w:pPr>
        <w:pStyle w:val="Overskrift1"/>
        <w:jc w:val="center"/>
        <w:rPr>
          <w:rFonts w:eastAsia="Calibri"/>
        </w:rPr>
      </w:pPr>
      <w:bookmarkStart w:id="0" w:name="_Toc133331509"/>
      <w:bookmarkStart w:id="1" w:name="_Toc133839405"/>
      <w:r w:rsidRPr="002A6CEF">
        <w:t>Instruks – Utilsigtede hændelser (UTH)</w:t>
      </w:r>
      <w:bookmarkEnd w:id="1"/>
    </w:p>
    <w:p w14:paraId="5F49D11E" w14:textId="77777777" w:rsidR="00106ECE" w:rsidRPr="001F4A29" w:rsidRDefault="00106ECE" w:rsidP="00106ECE"/>
    <w:tbl>
      <w:tblPr>
        <w:tblW w:w="10716" w:type="dxa"/>
        <w:tblInd w:w="-140" w:type="dxa"/>
        <w:tblLayout w:type="fixed"/>
        <w:tblCellMar>
          <w:top w:w="7" w:type="dxa"/>
          <w:left w:w="68" w:type="dxa"/>
          <w:right w:w="42" w:type="dxa"/>
        </w:tblCellMar>
        <w:tblLook w:val="04A0" w:firstRow="1" w:lastRow="0" w:firstColumn="1" w:lastColumn="0" w:noHBand="0" w:noVBand="1"/>
        <w:tblDescription w:val="Instruks – Utilsigtede hændelser (UTH)"/>
      </w:tblPr>
      <w:tblGrid>
        <w:gridCol w:w="3185"/>
        <w:gridCol w:w="7531"/>
      </w:tblGrid>
      <w:tr w:rsidR="00CC3AD0" w:rsidRPr="001F4A29" w14:paraId="13E56DBA" w14:textId="77777777" w:rsidTr="00CC3AD0">
        <w:trPr>
          <w:trHeight w:val="234"/>
          <w:tblHeader/>
        </w:trPr>
        <w:tc>
          <w:tcPr>
            <w:tcW w:w="3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</w:tcPr>
          <w:p w14:paraId="24F59043" w14:textId="441CC8AC" w:rsidR="00CC3AD0" w:rsidRPr="001B09B5" w:rsidRDefault="00CC3AD0" w:rsidP="00B45E1D">
            <w:pPr>
              <w:jc w:val="left"/>
              <w:rPr>
                <w:rFonts w:eastAsia="Arial"/>
                <w:b/>
                <w:bCs/>
              </w:rPr>
            </w:pPr>
            <w:r>
              <w:rPr>
                <w:rFonts w:eastAsia="Arial"/>
                <w:b/>
                <w:bCs/>
              </w:rPr>
              <w:t>Situation</w:t>
            </w:r>
          </w:p>
        </w:tc>
        <w:tc>
          <w:tcPr>
            <w:tcW w:w="7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AC166E" w14:textId="0DF13E30" w:rsidR="00CC3AD0" w:rsidRPr="007F2665" w:rsidRDefault="00CC3AD0" w:rsidP="00B45E1D">
            <w:pPr>
              <w:jc w:val="left"/>
              <w:rPr>
                <w:rFonts w:eastAsia="Arial"/>
              </w:rPr>
            </w:pPr>
            <w:r>
              <w:rPr>
                <w:rFonts w:eastAsia="Arial"/>
              </w:rPr>
              <w:t>Instruks</w:t>
            </w:r>
          </w:p>
        </w:tc>
      </w:tr>
      <w:tr w:rsidR="00106ECE" w:rsidRPr="001F4A29" w14:paraId="608614F0" w14:textId="77777777" w:rsidTr="00B45E1D">
        <w:trPr>
          <w:trHeight w:val="664"/>
        </w:trPr>
        <w:tc>
          <w:tcPr>
            <w:tcW w:w="3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</w:tcPr>
          <w:p w14:paraId="2DE845F7" w14:textId="77777777" w:rsidR="00106ECE" w:rsidRPr="001B09B5" w:rsidRDefault="00106ECE" w:rsidP="00B45E1D">
            <w:pPr>
              <w:jc w:val="left"/>
              <w:rPr>
                <w:rFonts w:ascii="Calibri" w:eastAsia="Calibri" w:hAnsi="Calibri" w:cs="Calibri"/>
                <w:b/>
                <w:bCs/>
              </w:rPr>
            </w:pPr>
            <w:r w:rsidRPr="001B09B5">
              <w:rPr>
                <w:rFonts w:eastAsia="Arial"/>
                <w:b/>
                <w:bCs/>
              </w:rPr>
              <w:t>Personalegrupper omfattet af instruksen</w:t>
            </w:r>
          </w:p>
        </w:tc>
        <w:tc>
          <w:tcPr>
            <w:tcW w:w="7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D0D4F2" w14:textId="77777777" w:rsidR="00106ECE" w:rsidRPr="006D5EDB" w:rsidRDefault="00106ECE" w:rsidP="00B45E1D">
            <w:pPr>
              <w:jc w:val="left"/>
              <w:rPr>
                <w:rFonts w:eastAsia="Calibri"/>
              </w:rPr>
            </w:pPr>
            <w:r w:rsidRPr="007F2665">
              <w:rPr>
                <w:rFonts w:eastAsia="Arial"/>
              </w:rPr>
              <w:t>Al</w:t>
            </w:r>
            <w:r>
              <w:rPr>
                <w:rFonts w:eastAsia="Arial"/>
              </w:rPr>
              <w:t>t personale</w:t>
            </w:r>
            <w:r w:rsidRPr="007F2665">
              <w:rPr>
                <w:rFonts w:eastAsia="Arial"/>
              </w:rPr>
              <w:t xml:space="preserve"> </w:t>
            </w:r>
            <w:r w:rsidRPr="006D5EDB">
              <w:rPr>
                <w:rFonts w:eastAsia="Arial"/>
              </w:rPr>
              <w:t>ansat på socialområdet i Randers kommune.</w:t>
            </w:r>
          </w:p>
        </w:tc>
      </w:tr>
      <w:tr w:rsidR="00106ECE" w:rsidRPr="001F4A29" w14:paraId="05471587" w14:textId="77777777" w:rsidTr="00B45E1D">
        <w:trPr>
          <w:trHeight w:val="1886"/>
        </w:trPr>
        <w:tc>
          <w:tcPr>
            <w:tcW w:w="3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</w:tcPr>
          <w:p w14:paraId="12DE30E7" w14:textId="77777777" w:rsidR="00106ECE" w:rsidRPr="001B09B5" w:rsidRDefault="00106ECE" w:rsidP="00B45E1D">
            <w:pPr>
              <w:jc w:val="left"/>
              <w:rPr>
                <w:rFonts w:ascii="Calibri" w:eastAsia="Calibri" w:hAnsi="Calibri" w:cs="Calibri"/>
                <w:b/>
                <w:bCs/>
              </w:rPr>
            </w:pPr>
            <w:r w:rsidRPr="001B09B5">
              <w:rPr>
                <w:rFonts w:eastAsia="Arial"/>
                <w:b/>
                <w:bCs/>
              </w:rPr>
              <w:t xml:space="preserve">Formål  </w:t>
            </w:r>
          </w:p>
        </w:tc>
        <w:tc>
          <w:tcPr>
            <w:tcW w:w="7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06CF1A" w14:textId="77777777" w:rsidR="00106ECE" w:rsidRDefault="00106ECE" w:rsidP="00106ECE">
            <w:pPr>
              <w:numPr>
                <w:ilvl w:val="0"/>
                <w:numId w:val="24"/>
              </w:num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Instruksen skal sikre systematisk opmærksomhed på og rapportering af utilsigtede hændelser for at skabe læring i organisationen og forebygge gentagelser.</w:t>
            </w:r>
          </w:p>
          <w:p w14:paraId="2D4419B3" w14:textId="77777777" w:rsidR="00106ECE" w:rsidRDefault="00106ECE" w:rsidP="00106ECE">
            <w:pPr>
              <w:numPr>
                <w:ilvl w:val="0"/>
                <w:numId w:val="24"/>
              </w:numPr>
              <w:jc w:val="left"/>
              <w:rPr>
                <w:rFonts w:eastAsia="Calibri"/>
              </w:rPr>
            </w:pPr>
            <w:r w:rsidRPr="001B09B5">
              <w:rPr>
                <w:rFonts w:eastAsia="Calibri"/>
              </w:rPr>
              <w:t xml:space="preserve">Arbejdet understøttes af et miljø, hvor det er muligt for </w:t>
            </w:r>
            <w:r>
              <w:rPr>
                <w:rFonts w:eastAsia="Calibri"/>
              </w:rPr>
              <w:t xml:space="preserve">personalet </w:t>
            </w:r>
            <w:r w:rsidRPr="001B09B5">
              <w:rPr>
                <w:rFonts w:eastAsia="Calibri"/>
              </w:rPr>
              <w:t>a</w:t>
            </w:r>
            <w:r>
              <w:rPr>
                <w:rFonts w:eastAsia="Calibri"/>
              </w:rPr>
              <w:t>t</w:t>
            </w:r>
            <w:r w:rsidRPr="001B09B5">
              <w:rPr>
                <w:rFonts w:eastAsia="Calibri"/>
              </w:rPr>
              <w:t xml:space="preserve"> håndtere utilsigtede hændelser og drage læring heraf.</w:t>
            </w:r>
          </w:p>
          <w:p w14:paraId="289AA83E" w14:textId="77777777" w:rsidR="00106ECE" w:rsidRPr="001B09B5" w:rsidRDefault="00106ECE" w:rsidP="00106ECE">
            <w:pPr>
              <w:numPr>
                <w:ilvl w:val="0"/>
                <w:numId w:val="24"/>
              </w:numPr>
              <w:jc w:val="left"/>
              <w:rPr>
                <w:rFonts w:eastAsia="Calibri"/>
              </w:rPr>
            </w:pPr>
            <w:r w:rsidRPr="001B09B5">
              <w:rPr>
                <w:rFonts w:eastAsia="Calibri"/>
              </w:rPr>
              <w:t>At sikre, at personalet følger kommunes overordnede politik for ind</w:t>
            </w:r>
            <w:r>
              <w:rPr>
                <w:rFonts w:eastAsia="Calibri"/>
              </w:rPr>
              <w:t xml:space="preserve">rapportering </w:t>
            </w:r>
            <w:r w:rsidRPr="001B09B5">
              <w:rPr>
                <w:rFonts w:eastAsia="Calibri"/>
              </w:rPr>
              <w:t xml:space="preserve">af utilsigtede hændelser (UTH). </w:t>
            </w:r>
          </w:p>
          <w:p w14:paraId="50351F8D" w14:textId="77777777" w:rsidR="00106ECE" w:rsidRDefault="00106ECE" w:rsidP="00B45E1D">
            <w:pPr>
              <w:jc w:val="left"/>
              <w:rPr>
                <w:rFonts w:eastAsia="Calibri"/>
                <w:lang w:eastAsia="en-US"/>
              </w:rPr>
            </w:pPr>
          </w:p>
          <w:p w14:paraId="21083393" w14:textId="77777777" w:rsidR="00106ECE" w:rsidRPr="006E4898" w:rsidRDefault="00106ECE" w:rsidP="00B45E1D">
            <w:pPr>
              <w:jc w:val="left"/>
              <w:rPr>
                <w:rFonts w:eastAsia="Calibri"/>
              </w:rPr>
            </w:pPr>
            <w:r w:rsidRPr="006E4898">
              <w:rPr>
                <w:rFonts w:eastAsia="Calibri"/>
              </w:rPr>
              <w:t>Link til</w:t>
            </w:r>
            <w:r>
              <w:rPr>
                <w:rFonts w:eastAsia="Calibri"/>
              </w:rPr>
              <w:t xml:space="preserve"> retningslinje for UTH</w:t>
            </w:r>
            <w:r w:rsidRPr="006E4898">
              <w:rPr>
                <w:rFonts w:eastAsia="Calibri"/>
              </w:rPr>
              <w:t xml:space="preserve"> findes her:</w:t>
            </w:r>
          </w:p>
          <w:p w14:paraId="52AF4F97" w14:textId="77777777" w:rsidR="00106ECE" w:rsidRDefault="00C55749" w:rsidP="00B45E1D">
            <w:pPr>
              <w:jc w:val="left"/>
            </w:pPr>
            <w:hyperlink r:id="rId8" w:history="1">
              <w:r w:rsidR="00106ECE">
                <w:rPr>
                  <w:rStyle w:val="Hyperlink"/>
                  <w:rFonts w:eastAsiaTheme="majorEastAsia"/>
                </w:rPr>
                <w:t>https://broen.randers.dk/lokale-broer/socialomraadet/information-til-alle/overordnede-politikker-og-retningslinjer/uth/</w:t>
              </w:r>
            </w:hyperlink>
          </w:p>
          <w:p w14:paraId="2A8D2EBF" w14:textId="77777777" w:rsidR="00106ECE" w:rsidRPr="001F4A29" w:rsidRDefault="00106ECE" w:rsidP="00B45E1D">
            <w:pPr>
              <w:jc w:val="left"/>
              <w:rPr>
                <w:rFonts w:eastAsia="Calibri"/>
              </w:rPr>
            </w:pPr>
          </w:p>
        </w:tc>
      </w:tr>
      <w:tr w:rsidR="00106ECE" w:rsidRPr="001F4A29" w14:paraId="5E7A4FEE" w14:textId="77777777" w:rsidTr="00B45E1D">
        <w:trPr>
          <w:trHeight w:val="1198"/>
        </w:trPr>
        <w:tc>
          <w:tcPr>
            <w:tcW w:w="3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</w:tcPr>
          <w:p w14:paraId="1311A21B" w14:textId="77777777" w:rsidR="00106ECE" w:rsidRPr="001B09B5" w:rsidRDefault="00106ECE" w:rsidP="00B45E1D">
            <w:pPr>
              <w:jc w:val="left"/>
              <w:rPr>
                <w:rFonts w:eastAsia="Arial"/>
                <w:b/>
                <w:bCs/>
              </w:rPr>
            </w:pPr>
            <w:r w:rsidRPr="001B09B5">
              <w:rPr>
                <w:rFonts w:eastAsia="Arial"/>
                <w:b/>
                <w:bCs/>
              </w:rPr>
              <w:t>Ansvar</w:t>
            </w:r>
          </w:p>
        </w:tc>
        <w:tc>
          <w:tcPr>
            <w:tcW w:w="7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8492EB" w14:textId="77777777" w:rsidR="00106ECE" w:rsidRPr="001F4A29" w:rsidRDefault="00106ECE" w:rsidP="00B45E1D">
            <w:pPr>
              <w:jc w:val="left"/>
              <w:rPr>
                <w:rFonts w:eastAsia="Arial"/>
              </w:rPr>
            </w:pPr>
            <w:r w:rsidRPr="001F4A29">
              <w:rPr>
                <w:rFonts w:eastAsia="Arial"/>
              </w:rPr>
              <w:t>Det er ledelsens ansvar at sikre en skriftlig instruks og korrekt opdatering af denne</w:t>
            </w:r>
          </w:p>
          <w:p w14:paraId="4705022F" w14:textId="77777777" w:rsidR="00106ECE" w:rsidRPr="001F4A29" w:rsidRDefault="00106ECE" w:rsidP="00B45E1D">
            <w:pPr>
              <w:jc w:val="left"/>
              <w:rPr>
                <w:rFonts w:eastAsia="Arial"/>
              </w:rPr>
            </w:pPr>
          </w:p>
          <w:p w14:paraId="2631A37C" w14:textId="77777777" w:rsidR="00106ECE" w:rsidRPr="001F4A29" w:rsidRDefault="00106ECE" w:rsidP="00B45E1D">
            <w:pPr>
              <w:jc w:val="left"/>
              <w:rPr>
                <w:rFonts w:eastAsia="Arial"/>
              </w:rPr>
            </w:pPr>
            <w:r w:rsidRPr="001F4A29">
              <w:rPr>
                <w:rFonts w:eastAsia="Arial"/>
              </w:rPr>
              <w:t>Det er personalets ansvar at følge</w:t>
            </w:r>
            <w:r>
              <w:rPr>
                <w:rFonts w:eastAsia="Arial"/>
              </w:rPr>
              <w:t xml:space="preserve"> den</w:t>
            </w:r>
            <w:r w:rsidRPr="001F4A29">
              <w:rPr>
                <w:rFonts w:eastAsia="Arial"/>
              </w:rPr>
              <w:t xml:space="preserve"> skriftlig</w:t>
            </w:r>
            <w:r>
              <w:rPr>
                <w:rFonts w:eastAsia="Arial"/>
              </w:rPr>
              <w:t>e</w:t>
            </w:r>
            <w:r w:rsidRPr="001F4A29">
              <w:rPr>
                <w:rFonts w:eastAsia="Arial"/>
              </w:rPr>
              <w:t xml:space="preserve"> instruks.</w:t>
            </w:r>
          </w:p>
          <w:p w14:paraId="5959A0CA" w14:textId="64EC54FF" w:rsidR="00106ECE" w:rsidRPr="001F4A29" w:rsidRDefault="00106ECE" w:rsidP="00B45E1D">
            <w:pPr>
              <w:jc w:val="left"/>
              <w:rPr>
                <w:rFonts w:eastAsia="Arial"/>
              </w:rPr>
            </w:pPr>
          </w:p>
        </w:tc>
      </w:tr>
      <w:tr w:rsidR="00106ECE" w:rsidRPr="001F4A29" w14:paraId="34D1E742" w14:textId="77777777" w:rsidTr="00B45E1D">
        <w:trPr>
          <w:trHeight w:val="1198"/>
        </w:trPr>
        <w:tc>
          <w:tcPr>
            <w:tcW w:w="3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</w:tcPr>
          <w:p w14:paraId="1559428B" w14:textId="77777777" w:rsidR="00106ECE" w:rsidRPr="001B09B5" w:rsidRDefault="00106ECE" w:rsidP="00B45E1D">
            <w:pPr>
              <w:jc w:val="left"/>
              <w:rPr>
                <w:rFonts w:eastAsia="Arial"/>
                <w:b/>
                <w:bCs/>
              </w:rPr>
            </w:pPr>
            <w:r w:rsidRPr="001B09B5">
              <w:rPr>
                <w:rFonts w:eastAsia="Arial"/>
                <w:b/>
                <w:bCs/>
              </w:rPr>
              <w:t>Hvad er en UTH</w:t>
            </w:r>
          </w:p>
        </w:tc>
        <w:tc>
          <w:tcPr>
            <w:tcW w:w="7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5A8340" w14:textId="77777777" w:rsidR="00106ECE" w:rsidRPr="001F4A29" w:rsidRDefault="00106ECE" w:rsidP="00B45E1D">
            <w:pPr>
              <w:jc w:val="left"/>
              <w:rPr>
                <w:rFonts w:eastAsia="Arial"/>
              </w:rPr>
            </w:pPr>
            <w:r w:rsidRPr="001F4A29">
              <w:rPr>
                <w:rFonts w:eastAsia="Arial"/>
              </w:rPr>
              <w:t xml:space="preserve">Ved en utilsigtet hændelse forstås en begivenhed, der forekommer i forbindelse med sundhedsfaglig virksomhed, og i kommunalt regi i forbindelse med sundhedsfaglige </w:t>
            </w:r>
            <w:r>
              <w:rPr>
                <w:rFonts w:eastAsia="Arial"/>
              </w:rPr>
              <w:t>indsatser</w:t>
            </w:r>
            <w:r w:rsidRPr="001F4A29">
              <w:rPr>
                <w:rFonts w:eastAsia="Arial"/>
              </w:rPr>
              <w:t>.</w:t>
            </w:r>
          </w:p>
          <w:p w14:paraId="5769DCEE" w14:textId="77777777" w:rsidR="00106ECE" w:rsidRPr="001F4A29" w:rsidRDefault="00106ECE" w:rsidP="00B45E1D">
            <w:pPr>
              <w:jc w:val="left"/>
              <w:rPr>
                <w:rFonts w:eastAsia="Arial"/>
              </w:rPr>
            </w:pPr>
          </w:p>
          <w:p w14:paraId="134D7686" w14:textId="77777777" w:rsidR="00106ECE" w:rsidRDefault="00106ECE" w:rsidP="00B45E1D">
            <w:pPr>
              <w:jc w:val="left"/>
              <w:rPr>
                <w:rFonts w:eastAsia="Arial"/>
              </w:rPr>
            </w:pPr>
            <w:r w:rsidRPr="001F4A29">
              <w:rPr>
                <w:rFonts w:eastAsia="Arial"/>
              </w:rPr>
              <w:t>Utilsigtede hændelser omfatter på forhånd kendte og ukendte hændelser og fejl, som ikke skyldes borgerens sygdom, og som enten er skadevoldende eller kunne have været skadevoldende (’nærv</w:t>
            </w:r>
            <w:r>
              <w:rPr>
                <w:rFonts w:eastAsia="Arial"/>
              </w:rPr>
              <w:t>ed-</w:t>
            </w:r>
            <w:r w:rsidRPr="001F4A29">
              <w:rPr>
                <w:rFonts w:eastAsia="Arial"/>
              </w:rPr>
              <w:t>hændelser’).</w:t>
            </w:r>
          </w:p>
          <w:p w14:paraId="1DC8A0EA" w14:textId="77777777" w:rsidR="00106ECE" w:rsidRPr="001F4A29" w:rsidRDefault="00106ECE" w:rsidP="00B45E1D">
            <w:pPr>
              <w:jc w:val="left"/>
              <w:rPr>
                <w:rFonts w:eastAsia="Arial"/>
              </w:rPr>
            </w:pPr>
          </w:p>
        </w:tc>
      </w:tr>
      <w:tr w:rsidR="00106ECE" w:rsidRPr="001F4A29" w14:paraId="3F45870E" w14:textId="77777777" w:rsidTr="00B45E1D">
        <w:trPr>
          <w:trHeight w:val="545"/>
        </w:trPr>
        <w:tc>
          <w:tcPr>
            <w:tcW w:w="3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</w:tcPr>
          <w:p w14:paraId="73A195EE" w14:textId="77777777" w:rsidR="00106ECE" w:rsidRPr="001B09B5" w:rsidRDefault="00106ECE" w:rsidP="00B45E1D">
            <w:pPr>
              <w:jc w:val="left"/>
              <w:rPr>
                <w:rFonts w:eastAsia="Arial"/>
                <w:b/>
                <w:bCs/>
              </w:rPr>
            </w:pPr>
            <w:r w:rsidRPr="001B09B5">
              <w:rPr>
                <w:rFonts w:eastAsia="Arial"/>
                <w:b/>
                <w:bCs/>
              </w:rPr>
              <w:t>Hvad skal ind</w:t>
            </w:r>
            <w:r>
              <w:rPr>
                <w:rFonts w:eastAsia="Arial"/>
                <w:b/>
                <w:bCs/>
              </w:rPr>
              <w:t>rapporteres</w:t>
            </w:r>
          </w:p>
        </w:tc>
        <w:tc>
          <w:tcPr>
            <w:tcW w:w="7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01CC31" w14:textId="77777777" w:rsidR="00106ECE" w:rsidRDefault="00106ECE" w:rsidP="00B45E1D">
            <w:pPr>
              <w:jc w:val="left"/>
              <w:rPr>
                <w:rFonts w:eastAsia="Arial"/>
              </w:rPr>
            </w:pPr>
            <w:r w:rsidRPr="001F4A29">
              <w:rPr>
                <w:rFonts w:eastAsia="Arial"/>
              </w:rPr>
              <w:t xml:space="preserve">Du skal rapportere de utilsigtede hændelser, som du selv er impliceret i og hændelser, du bliver opmærksom på hos </w:t>
            </w:r>
            <w:r>
              <w:rPr>
                <w:rFonts w:eastAsia="Arial"/>
              </w:rPr>
              <w:t xml:space="preserve">andre, som ikke er blevet indrapporteret. </w:t>
            </w:r>
          </w:p>
          <w:p w14:paraId="750329AC" w14:textId="77777777" w:rsidR="00106ECE" w:rsidRPr="001F4A29" w:rsidRDefault="00106ECE" w:rsidP="00B45E1D">
            <w:pPr>
              <w:jc w:val="left"/>
              <w:rPr>
                <w:rFonts w:eastAsia="Arial"/>
              </w:rPr>
            </w:pPr>
          </w:p>
          <w:p w14:paraId="15629C54" w14:textId="77777777" w:rsidR="00106ECE" w:rsidRPr="001F4A29" w:rsidRDefault="00106ECE" w:rsidP="00B45E1D">
            <w:pPr>
              <w:jc w:val="left"/>
              <w:rPr>
                <w:rFonts w:eastAsia="Arial"/>
              </w:rPr>
            </w:pPr>
            <w:r w:rsidRPr="001F4A29">
              <w:rPr>
                <w:rFonts w:eastAsia="Arial"/>
              </w:rPr>
              <w:t>På det kommunale område er der rapporteringspligt for</w:t>
            </w:r>
            <w:r>
              <w:rPr>
                <w:rFonts w:eastAsia="Arial"/>
              </w:rPr>
              <w:t xml:space="preserve"> </w:t>
            </w:r>
            <w:r w:rsidRPr="001F4A29">
              <w:rPr>
                <w:rFonts w:eastAsia="Arial"/>
                <w:b/>
                <w:bCs/>
              </w:rPr>
              <w:t xml:space="preserve">alle </w:t>
            </w:r>
            <w:r w:rsidRPr="001F4A29">
              <w:rPr>
                <w:rFonts w:eastAsia="Arial"/>
              </w:rPr>
              <w:t>utilsigtede hændelser, der opstår i forbindelse med:</w:t>
            </w:r>
          </w:p>
          <w:p w14:paraId="03140B46" w14:textId="77777777" w:rsidR="00106ECE" w:rsidRPr="001F4A29" w:rsidRDefault="00106ECE" w:rsidP="00B45E1D">
            <w:pPr>
              <w:jc w:val="left"/>
              <w:rPr>
                <w:rFonts w:eastAsia="Arial"/>
              </w:rPr>
            </w:pPr>
          </w:p>
          <w:p w14:paraId="33013E38" w14:textId="77777777" w:rsidR="00106ECE" w:rsidRDefault="00106ECE" w:rsidP="00106ECE">
            <w:pPr>
              <w:numPr>
                <w:ilvl w:val="0"/>
                <w:numId w:val="25"/>
              </w:numPr>
              <w:jc w:val="left"/>
              <w:rPr>
                <w:rFonts w:eastAsia="Arial"/>
              </w:rPr>
            </w:pPr>
            <w:r w:rsidRPr="001F4A29">
              <w:rPr>
                <w:rFonts w:eastAsia="Arial"/>
              </w:rPr>
              <w:t xml:space="preserve">Sektorovergange, dvs. utilsigtede hændelser, der sker i forbindelse med en borgers overgang fra en sektor til en anden, fx ved udskrivning fra sygehus til botilbud. </w:t>
            </w:r>
          </w:p>
          <w:p w14:paraId="51BCB041" w14:textId="77777777" w:rsidR="00106ECE" w:rsidRDefault="00106ECE" w:rsidP="00106ECE">
            <w:pPr>
              <w:numPr>
                <w:ilvl w:val="0"/>
                <w:numId w:val="25"/>
              </w:numPr>
              <w:jc w:val="left"/>
              <w:rPr>
                <w:rFonts w:eastAsia="Arial"/>
              </w:rPr>
            </w:pPr>
            <w:r w:rsidRPr="00E15920">
              <w:rPr>
                <w:rFonts w:eastAsia="Arial"/>
              </w:rPr>
              <w:t>Medicinering, fx utilsigtede hændelser i forbindelse med ordination og håndtering af medicin</w:t>
            </w:r>
            <w:r>
              <w:rPr>
                <w:rFonts w:eastAsia="Arial"/>
              </w:rPr>
              <w:t>.</w:t>
            </w:r>
          </w:p>
          <w:p w14:paraId="4EC28A26" w14:textId="77777777" w:rsidR="00106ECE" w:rsidRDefault="00106ECE" w:rsidP="00106ECE">
            <w:pPr>
              <w:numPr>
                <w:ilvl w:val="0"/>
                <w:numId w:val="25"/>
              </w:numPr>
              <w:jc w:val="left"/>
              <w:rPr>
                <w:rFonts w:eastAsia="Arial"/>
              </w:rPr>
            </w:pPr>
            <w:r w:rsidRPr="00E15920">
              <w:rPr>
                <w:rFonts w:eastAsia="Arial"/>
              </w:rPr>
              <w:t>Infektioner, dvs. alle infektioner, der opstår i situationer hvorpå der ydes en sundhedsfaglig ydelse.</w:t>
            </w:r>
          </w:p>
          <w:p w14:paraId="183ABA29" w14:textId="77777777" w:rsidR="00106ECE" w:rsidRPr="00E15920" w:rsidRDefault="00106ECE" w:rsidP="00106ECE">
            <w:pPr>
              <w:numPr>
                <w:ilvl w:val="0"/>
                <w:numId w:val="25"/>
              </w:numPr>
              <w:jc w:val="left"/>
              <w:rPr>
                <w:rFonts w:eastAsia="Arial"/>
              </w:rPr>
            </w:pPr>
            <w:r w:rsidRPr="00E15920">
              <w:rPr>
                <w:rFonts w:eastAsia="Arial"/>
              </w:rPr>
              <w:t>Personuheld, der er relateret til en sundhedsfaglig ydelse eller mangel på samme.</w:t>
            </w:r>
          </w:p>
          <w:p w14:paraId="20046F05" w14:textId="77777777" w:rsidR="00106ECE" w:rsidRPr="001F4A29" w:rsidRDefault="00106ECE" w:rsidP="00B45E1D">
            <w:pPr>
              <w:jc w:val="left"/>
              <w:rPr>
                <w:rFonts w:eastAsia="Arial"/>
              </w:rPr>
            </w:pPr>
          </w:p>
          <w:p w14:paraId="6523C82A" w14:textId="77777777" w:rsidR="00106ECE" w:rsidRPr="001F4A29" w:rsidRDefault="00106ECE" w:rsidP="00B45E1D">
            <w:pPr>
              <w:jc w:val="left"/>
              <w:rPr>
                <w:rFonts w:eastAsia="Arial"/>
              </w:rPr>
            </w:pPr>
            <w:r w:rsidRPr="001F4A29">
              <w:rPr>
                <w:rFonts w:eastAsia="Arial"/>
              </w:rPr>
              <w:t>Andre typer af hændelser er også rapporteringspligtige, hvis konsekvensen af hændelsen er, at</w:t>
            </w:r>
            <w:r>
              <w:rPr>
                <w:rFonts w:eastAsia="Arial"/>
              </w:rPr>
              <w:t>:</w:t>
            </w:r>
          </w:p>
          <w:p w14:paraId="28C2D9B0" w14:textId="77777777" w:rsidR="00106ECE" w:rsidRPr="001F4A29" w:rsidRDefault="00106ECE" w:rsidP="00B45E1D">
            <w:pPr>
              <w:jc w:val="left"/>
              <w:rPr>
                <w:rFonts w:eastAsia="Arial"/>
              </w:rPr>
            </w:pPr>
          </w:p>
          <w:p w14:paraId="5625F407" w14:textId="77777777" w:rsidR="00106ECE" w:rsidRDefault="00106ECE" w:rsidP="00106ECE">
            <w:pPr>
              <w:numPr>
                <w:ilvl w:val="0"/>
                <w:numId w:val="26"/>
              </w:numPr>
              <w:jc w:val="left"/>
              <w:rPr>
                <w:rFonts w:eastAsia="Arial"/>
              </w:rPr>
            </w:pPr>
            <w:r>
              <w:rPr>
                <w:rFonts w:eastAsia="Arial"/>
              </w:rPr>
              <w:t>Borgeren dør</w:t>
            </w:r>
          </w:p>
          <w:p w14:paraId="090F8823" w14:textId="77777777" w:rsidR="00106ECE" w:rsidRDefault="00106ECE" w:rsidP="00106ECE">
            <w:pPr>
              <w:numPr>
                <w:ilvl w:val="0"/>
                <w:numId w:val="26"/>
              </w:numPr>
              <w:jc w:val="left"/>
              <w:rPr>
                <w:rFonts w:eastAsia="Arial"/>
              </w:rPr>
            </w:pPr>
            <w:r w:rsidRPr="00E15920">
              <w:rPr>
                <w:rFonts w:eastAsia="Arial"/>
              </w:rPr>
              <w:lastRenderedPageBreak/>
              <w:t>Borgeren får varige funktionstab</w:t>
            </w:r>
          </w:p>
          <w:p w14:paraId="33E66727" w14:textId="77777777" w:rsidR="00106ECE" w:rsidRDefault="00106ECE" w:rsidP="00106ECE">
            <w:pPr>
              <w:numPr>
                <w:ilvl w:val="0"/>
                <w:numId w:val="26"/>
              </w:numPr>
              <w:jc w:val="left"/>
              <w:rPr>
                <w:rFonts w:eastAsia="Arial"/>
              </w:rPr>
            </w:pPr>
            <w:r w:rsidRPr="00E15920">
              <w:rPr>
                <w:rFonts w:eastAsia="Arial"/>
              </w:rPr>
              <w:t>Der skal ske lægetilkald, indlæggelse</w:t>
            </w:r>
            <w:r>
              <w:rPr>
                <w:rFonts w:eastAsia="Arial"/>
              </w:rPr>
              <w:t>,</w:t>
            </w:r>
            <w:r w:rsidRPr="00E15920">
              <w:rPr>
                <w:rFonts w:eastAsia="Arial"/>
              </w:rPr>
              <w:t xml:space="preserve"> eller betydelig øget udrednings- eller behandlingsintensivitet,</w:t>
            </w:r>
          </w:p>
          <w:p w14:paraId="2910251A" w14:textId="77777777" w:rsidR="00106ECE" w:rsidRPr="00E15920" w:rsidRDefault="00106ECE" w:rsidP="00106ECE">
            <w:pPr>
              <w:numPr>
                <w:ilvl w:val="0"/>
                <w:numId w:val="26"/>
              </w:numPr>
              <w:jc w:val="left"/>
              <w:rPr>
                <w:rFonts w:eastAsia="Arial"/>
              </w:rPr>
            </w:pPr>
            <w:r w:rsidRPr="00E15920">
              <w:rPr>
                <w:rFonts w:eastAsia="Arial"/>
              </w:rPr>
              <w:t>Der for flere borgere er øget plejebyrde eller lettere øget udrednings- eller behandlingsintensivitet.</w:t>
            </w:r>
          </w:p>
          <w:p w14:paraId="6B6C196E" w14:textId="77777777" w:rsidR="00106ECE" w:rsidRPr="001F4A29" w:rsidRDefault="00106ECE" w:rsidP="00B45E1D">
            <w:pPr>
              <w:jc w:val="left"/>
              <w:rPr>
                <w:rFonts w:eastAsia="Arial"/>
              </w:rPr>
            </w:pPr>
          </w:p>
          <w:p w14:paraId="2D1879A3" w14:textId="77777777" w:rsidR="00106ECE" w:rsidRDefault="00106ECE" w:rsidP="00B45E1D">
            <w:pPr>
              <w:jc w:val="left"/>
              <w:rPr>
                <w:rFonts w:eastAsia="Arial"/>
              </w:rPr>
            </w:pPr>
            <w:r>
              <w:rPr>
                <w:rFonts w:eastAsia="Arial"/>
              </w:rPr>
              <w:t xml:space="preserve">Andre </w:t>
            </w:r>
            <w:r w:rsidRPr="001F4A29">
              <w:rPr>
                <w:rFonts w:eastAsia="Arial"/>
              </w:rPr>
              <w:t xml:space="preserve">utilsigtede hændelser </w:t>
            </w:r>
            <w:r w:rsidRPr="001F4A29">
              <w:rPr>
                <w:rFonts w:eastAsia="Arial"/>
                <w:b/>
                <w:bCs/>
              </w:rPr>
              <w:t xml:space="preserve">kan </w:t>
            </w:r>
            <w:r w:rsidRPr="001F4A29">
              <w:rPr>
                <w:rFonts w:eastAsia="Arial"/>
              </w:rPr>
              <w:t>rapporteres.</w:t>
            </w:r>
          </w:p>
          <w:p w14:paraId="1EFF329E" w14:textId="77777777" w:rsidR="00106ECE" w:rsidRPr="001F4A29" w:rsidRDefault="00106ECE" w:rsidP="00B45E1D">
            <w:pPr>
              <w:jc w:val="left"/>
              <w:rPr>
                <w:rFonts w:eastAsia="Arial"/>
              </w:rPr>
            </w:pPr>
          </w:p>
        </w:tc>
      </w:tr>
      <w:tr w:rsidR="00106ECE" w:rsidRPr="001F4A29" w14:paraId="56676866" w14:textId="77777777" w:rsidTr="00B45E1D">
        <w:trPr>
          <w:trHeight w:val="1198"/>
        </w:trPr>
        <w:tc>
          <w:tcPr>
            <w:tcW w:w="3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</w:tcPr>
          <w:p w14:paraId="695AEBA4" w14:textId="77777777" w:rsidR="00106ECE" w:rsidRPr="001B09B5" w:rsidRDefault="00106ECE" w:rsidP="00B45E1D">
            <w:pPr>
              <w:jc w:val="left"/>
              <w:rPr>
                <w:rFonts w:eastAsia="Arial"/>
                <w:b/>
                <w:bCs/>
              </w:rPr>
            </w:pPr>
            <w:r w:rsidRPr="001B09B5">
              <w:rPr>
                <w:rFonts w:eastAsia="Arial"/>
                <w:b/>
                <w:bCs/>
              </w:rPr>
              <w:lastRenderedPageBreak/>
              <w:t>Procedure for ind</w:t>
            </w:r>
            <w:r>
              <w:rPr>
                <w:rFonts w:eastAsia="Arial"/>
                <w:b/>
                <w:bCs/>
              </w:rPr>
              <w:t>rapportering</w:t>
            </w:r>
            <w:r w:rsidRPr="001B09B5">
              <w:rPr>
                <w:rFonts w:eastAsia="Arial"/>
                <w:b/>
                <w:bCs/>
              </w:rPr>
              <w:t xml:space="preserve"> af UTH</w:t>
            </w:r>
          </w:p>
        </w:tc>
        <w:tc>
          <w:tcPr>
            <w:tcW w:w="7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0EDE53" w14:textId="77777777" w:rsidR="00106ECE" w:rsidRPr="001F4A29" w:rsidRDefault="00106ECE" w:rsidP="00B45E1D">
            <w:pPr>
              <w:jc w:val="left"/>
              <w:rPr>
                <w:rFonts w:eastAsia="Arial"/>
              </w:rPr>
            </w:pPr>
            <w:r>
              <w:rPr>
                <w:rFonts w:eastAsia="Arial"/>
              </w:rPr>
              <w:t xml:space="preserve">UTH indrapporteres elektronisk til </w:t>
            </w:r>
            <w:r w:rsidRPr="001F4A29">
              <w:rPr>
                <w:rFonts w:eastAsia="Arial"/>
              </w:rPr>
              <w:t>Sundhedsvæsenets rapporteringssystem</w:t>
            </w:r>
            <w:r>
              <w:rPr>
                <w:rFonts w:eastAsia="Arial"/>
              </w:rPr>
              <w:t xml:space="preserve">,  </w:t>
            </w:r>
            <w:hyperlink r:id="rId9" w:history="1">
              <w:proofErr w:type="spellStart"/>
              <w:r>
                <w:rPr>
                  <w:rStyle w:val="Hyperlink"/>
                  <w:rFonts w:eastAsiaTheme="majorEastAsia"/>
                </w:rPr>
                <w:t>DanskPatientsikkerhedsDatabase</w:t>
              </w:r>
              <w:proofErr w:type="spellEnd"/>
            </w:hyperlink>
            <w:r w:rsidRPr="001F4A29">
              <w:rPr>
                <w:rFonts w:eastAsia="Arial"/>
              </w:rPr>
              <w:t xml:space="preserve"> </w:t>
            </w:r>
            <w:r>
              <w:rPr>
                <w:rFonts w:eastAsia="Arial"/>
              </w:rPr>
              <w:t>(DPSD)</w:t>
            </w:r>
          </w:p>
          <w:p w14:paraId="3573F7A3" w14:textId="77777777" w:rsidR="00106ECE" w:rsidRPr="001F4A29" w:rsidRDefault="00106ECE" w:rsidP="00B45E1D">
            <w:pPr>
              <w:jc w:val="left"/>
              <w:rPr>
                <w:rFonts w:eastAsia="Arial"/>
              </w:rPr>
            </w:pPr>
          </w:p>
          <w:p w14:paraId="3CEFE7C1" w14:textId="77777777" w:rsidR="00106ECE" w:rsidRDefault="00106ECE" w:rsidP="00B45E1D">
            <w:pPr>
              <w:jc w:val="left"/>
            </w:pPr>
            <w:r>
              <w:t xml:space="preserve">Hændelser, der indbefatter fejl, svigt og mangler ved medicinsk udstyr, skal endvidere indberettes til </w:t>
            </w:r>
            <w:hyperlink r:id="rId10" w:history="1">
              <w:r>
                <w:rPr>
                  <w:rStyle w:val="Hyperlink"/>
                  <w:rFonts w:eastAsiaTheme="majorEastAsia"/>
                </w:rPr>
                <w:t>Lægemiddelstyrelsen</w:t>
              </w:r>
            </w:hyperlink>
          </w:p>
          <w:p w14:paraId="5A9AB226" w14:textId="77777777" w:rsidR="00106ECE" w:rsidRDefault="00106ECE" w:rsidP="00B45E1D">
            <w:pPr>
              <w:jc w:val="left"/>
            </w:pPr>
          </w:p>
          <w:p w14:paraId="7BB1503D" w14:textId="77777777" w:rsidR="00106ECE" w:rsidRDefault="00106ECE" w:rsidP="00B45E1D">
            <w:pPr>
              <w:jc w:val="left"/>
            </w:pPr>
            <w:r>
              <w:t>Utilsigtede hændelser, hvor borgeren er faldet eller medicin ikke er givet, og som er klassificeret som ”</w:t>
            </w:r>
            <w:r w:rsidRPr="00DF2B87">
              <w:rPr>
                <w:i/>
                <w:iCs/>
              </w:rPr>
              <w:t>ingen skade</w:t>
            </w:r>
            <w:r>
              <w:t>” eller ”</w:t>
            </w:r>
            <w:r w:rsidRPr="00DF2B87">
              <w:rPr>
                <w:i/>
                <w:iCs/>
              </w:rPr>
              <w:t>mild skade</w:t>
            </w:r>
            <w:r>
              <w:t xml:space="preserve">”, indberettes som </w:t>
            </w:r>
            <w:r w:rsidRPr="003527E0">
              <w:rPr>
                <w:b/>
              </w:rPr>
              <w:t>”samlerapportering”</w:t>
            </w:r>
            <w:r>
              <w:t xml:space="preserve"> på samlerapporteringsskemaer </w:t>
            </w:r>
            <w:hyperlink r:id="rId11" w:history="1">
              <w:proofErr w:type="spellStart"/>
              <w:r w:rsidRPr="006D7AED">
                <w:rPr>
                  <w:rStyle w:val="Hyperlink"/>
                  <w:rFonts w:eastAsiaTheme="majorEastAsia"/>
                </w:rPr>
                <w:t>stps</w:t>
              </w:r>
              <w:proofErr w:type="spellEnd"/>
              <w:r w:rsidRPr="006D7AED">
                <w:rPr>
                  <w:rStyle w:val="Hyperlink"/>
                  <w:rFonts w:eastAsiaTheme="majorEastAsia"/>
                </w:rPr>
                <w:t>. samlerapportering</w:t>
              </w:r>
            </w:hyperlink>
          </w:p>
          <w:p w14:paraId="5C603EB3" w14:textId="77777777" w:rsidR="00106ECE" w:rsidRPr="00DF2B87" w:rsidRDefault="00106ECE" w:rsidP="00B45E1D">
            <w:pPr>
              <w:jc w:val="left"/>
            </w:pPr>
          </w:p>
          <w:p w14:paraId="735253AF" w14:textId="77777777" w:rsidR="00106ECE" w:rsidRDefault="00106ECE" w:rsidP="00B45E1D">
            <w:pPr>
              <w:jc w:val="left"/>
              <w:rPr>
                <w:rFonts w:eastAsia="Arial"/>
              </w:rPr>
            </w:pPr>
            <w:r w:rsidRPr="001F4A29">
              <w:rPr>
                <w:rFonts w:eastAsia="Arial"/>
              </w:rPr>
              <w:t xml:space="preserve">Formålet med rapporteringen er læring, hvorved gentagelser forebygges. </w:t>
            </w:r>
          </w:p>
          <w:p w14:paraId="386147AD" w14:textId="77777777" w:rsidR="00106ECE" w:rsidRPr="001F4A29" w:rsidRDefault="00106ECE" w:rsidP="00B45E1D">
            <w:pPr>
              <w:jc w:val="left"/>
              <w:rPr>
                <w:rFonts w:eastAsia="Arial"/>
              </w:rPr>
            </w:pPr>
            <w:r w:rsidRPr="001F4A29">
              <w:rPr>
                <w:rFonts w:eastAsia="Arial"/>
              </w:rPr>
              <w:t xml:space="preserve">For at få mest læring ud af </w:t>
            </w:r>
            <w:proofErr w:type="spellStart"/>
            <w:r>
              <w:rPr>
                <w:rFonts w:eastAsia="Arial"/>
              </w:rPr>
              <w:t>UTH´en</w:t>
            </w:r>
            <w:proofErr w:type="spellEnd"/>
            <w:r w:rsidRPr="001F4A29">
              <w:rPr>
                <w:rFonts w:eastAsia="Arial"/>
              </w:rPr>
              <w:t xml:space="preserve"> er det ofte nødvendigt at følge op på </w:t>
            </w:r>
            <w:r>
              <w:rPr>
                <w:rFonts w:eastAsia="Arial"/>
              </w:rPr>
              <w:t>hændelserne</w:t>
            </w:r>
            <w:r w:rsidRPr="001F4A29">
              <w:rPr>
                <w:rFonts w:eastAsia="Arial"/>
              </w:rPr>
              <w:t>.</w:t>
            </w:r>
            <w:r>
              <w:rPr>
                <w:rFonts w:eastAsia="Arial"/>
              </w:rPr>
              <w:t xml:space="preserve"> </w:t>
            </w:r>
            <w:r w:rsidRPr="001F4A29">
              <w:rPr>
                <w:rFonts w:eastAsia="Arial"/>
              </w:rPr>
              <w:t>Det er derfor vigtigt, at den person, som kommunalt analyserer hændelsen, har dine kontaktoplysninger,</w:t>
            </w:r>
            <w:r>
              <w:rPr>
                <w:rFonts w:eastAsia="Arial"/>
              </w:rPr>
              <w:t xml:space="preserve"> </w:t>
            </w:r>
            <w:r w:rsidRPr="001F4A29">
              <w:rPr>
                <w:rFonts w:eastAsia="Arial"/>
              </w:rPr>
              <w:t>dvs. navn, telefonnummer og eventuelle mailadresse.</w:t>
            </w:r>
          </w:p>
          <w:p w14:paraId="07078F4B" w14:textId="77777777" w:rsidR="00106ECE" w:rsidRPr="001F4A29" w:rsidRDefault="00106ECE" w:rsidP="00B45E1D">
            <w:pPr>
              <w:jc w:val="left"/>
              <w:rPr>
                <w:rFonts w:eastAsia="Arial"/>
              </w:rPr>
            </w:pPr>
            <w:r w:rsidRPr="001F4A29">
              <w:rPr>
                <w:rFonts w:eastAsia="Arial"/>
              </w:rPr>
              <w:t xml:space="preserve">Dine kontaktoplysninger slettes før rapporten videresendes til </w:t>
            </w:r>
            <w:r>
              <w:rPr>
                <w:rFonts w:eastAsia="Arial"/>
              </w:rPr>
              <w:t>’styrelsen for Patientsikkerhed</w:t>
            </w:r>
            <w:r w:rsidRPr="001F4A29">
              <w:rPr>
                <w:rFonts w:eastAsia="Arial"/>
              </w:rPr>
              <w:t>.</w:t>
            </w:r>
          </w:p>
          <w:p w14:paraId="4810E2BF" w14:textId="77777777" w:rsidR="00106ECE" w:rsidRPr="001F4A29" w:rsidRDefault="00106ECE" w:rsidP="00B45E1D">
            <w:pPr>
              <w:jc w:val="left"/>
              <w:rPr>
                <w:rFonts w:eastAsia="Arial"/>
              </w:rPr>
            </w:pPr>
          </w:p>
          <w:p w14:paraId="4AD7A38F" w14:textId="77777777" w:rsidR="00106ECE" w:rsidRPr="001F4A29" w:rsidRDefault="00106ECE" w:rsidP="00B45E1D">
            <w:pPr>
              <w:jc w:val="left"/>
              <w:rPr>
                <w:rFonts w:eastAsia="Arial"/>
              </w:rPr>
            </w:pPr>
            <w:r w:rsidRPr="001F4A29">
              <w:rPr>
                <w:rFonts w:eastAsia="Arial"/>
              </w:rPr>
              <w:t>Det er vigtigt, at du i rapporten beskriver hændelsen objektivt.</w:t>
            </w:r>
          </w:p>
          <w:p w14:paraId="4DAA8D8C" w14:textId="77777777" w:rsidR="00106ECE" w:rsidRPr="001F4A29" w:rsidRDefault="00106ECE" w:rsidP="00B45E1D">
            <w:pPr>
              <w:jc w:val="left"/>
              <w:rPr>
                <w:rFonts w:eastAsia="Arial"/>
              </w:rPr>
            </w:pPr>
          </w:p>
          <w:p w14:paraId="23052394" w14:textId="77777777" w:rsidR="00106ECE" w:rsidRPr="001F4A29" w:rsidRDefault="00106ECE" w:rsidP="00B45E1D">
            <w:pPr>
              <w:jc w:val="left"/>
              <w:rPr>
                <w:rFonts w:eastAsia="Arial"/>
              </w:rPr>
            </w:pPr>
            <w:r w:rsidRPr="001F4A29">
              <w:rPr>
                <w:rFonts w:eastAsia="Arial"/>
              </w:rPr>
              <w:t>Rapporteringssystemet er et ikke-sanktionerende system,</w:t>
            </w:r>
          </w:p>
          <w:p w14:paraId="1732B7F0" w14:textId="77777777" w:rsidR="00106ECE" w:rsidRPr="001F4A29" w:rsidRDefault="00106ECE" w:rsidP="00B45E1D">
            <w:pPr>
              <w:jc w:val="left"/>
              <w:rPr>
                <w:rFonts w:eastAsia="Arial"/>
              </w:rPr>
            </w:pPr>
            <w:r w:rsidRPr="001F4A29">
              <w:rPr>
                <w:rFonts w:eastAsia="Arial"/>
              </w:rPr>
              <w:t>dvs.</w:t>
            </w:r>
            <w:r>
              <w:rPr>
                <w:rFonts w:eastAsia="Arial"/>
              </w:rPr>
              <w:t>,</w:t>
            </w:r>
            <w:r w:rsidRPr="001F4A29">
              <w:rPr>
                <w:rFonts w:eastAsia="Arial"/>
              </w:rPr>
              <w:t xml:space="preserve"> at du ikke på baggrund af rapporteringen kan få sanktioner fra arbejdsgiveren, Sundhedsstyrelsen eller domstolene.</w:t>
            </w:r>
          </w:p>
          <w:p w14:paraId="0FC73D7E" w14:textId="77777777" w:rsidR="00106ECE" w:rsidRPr="001F4A29" w:rsidRDefault="00106ECE" w:rsidP="00B45E1D">
            <w:pPr>
              <w:jc w:val="left"/>
              <w:rPr>
                <w:rFonts w:eastAsia="Arial"/>
              </w:rPr>
            </w:pPr>
          </w:p>
          <w:p w14:paraId="698ED34D" w14:textId="77777777" w:rsidR="00106ECE" w:rsidRDefault="00106ECE" w:rsidP="00B45E1D">
            <w:pPr>
              <w:jc w:val="left"/>
              <w:rPr>
                <w:rFonts w:eastAsia="Arial"/>
              </w:rPr>
            </w:pPr>
            <w:r w:rsidRPr="001F4A29">
              <w:rPr>
                <w:rFonts w:eastAsia="Arial"/>
              </w:rPr>
              <w:t>Rapporteringen skal ske snarest mulig efter, du er blevet opmærksom på hændelsen</w:t>
            </w:r>
            <w:r>
              <w:rPr>
                <w:rFonts w:eastAsia="Arial"/>
              </w:rPr>
              <w:t xml:space="preserve"> og senest efter 7 dage</w:t>
            </w:r>
            <w:r w:rsidRPr="001F4A29">
              <w:rPr>
                <w:rFonts w:eastAsia="Arial"/>
              </w:rPr>
              <w:t>.</w:t>
            </w:r>
          </w:p>
          <w:p w14:paraId="274D2A95" w14:textId="77777777" w:rsidR="00106ECE" w:rsidRPr="001F4A29" w:rsidRDefault="00106ECE" w:rsidP="00B45E1D">
            <w:pPr>
              <w:jc w:val="left"/>
              <w:rPr>
                <w:rFonts w:eastAsia="Arial"/>
              </w:rPr>
            </w:pPr>
          </w:p>
        </w:tc>
      </w:tr>
      <w:tr w:rsidR="00106ECE" w:rsidRPr="001F4A29" w14:paraId="0BD18513" w14:textId="77777777" w:rsidTr="00B45E1D">
        <w:trPr>
          <w:trHeight w:val="1198"/>
        </w:trPr>
        <w:tc>
          <w:tcPr>
            <w:tcW w:w="3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</w:tcPr>
          <w:p w14:paraId="581CFBD4" w14:textId="77777777" w:rsidR="00106ECE" w:rsidRPr="001B09B5" w:rsidRDefault="00106ECE" w:rsidP="00B45E1D">
            <w:pPr>
              <w:jc w:val="left"/>
              <w:rPr>
                <w:rFonts w:eastAsia="Arial"/>
                <w:b/>
                <w:bCs/>
              </w:rPr>
            </w:pPr>
            <w:r w:rsidRPr="001B09B5">
              <w:rPr>
                <w:rFonts w:eastAsia="Arial"/>
                <w:b/>
                <w:bCs/>
              </w:rPr>
              <w:t>Efterbehandling</w:t>
            </w:r>
          </w:p>
        </w:tc>
        <w:tc>
          <w:tcPr>
            <w:tcW w:w="7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F5C7A2" w14:textId="77777777" w:rsidR="00106ECE" w:rsidRPr="003F4F8D" w:rsidRDefault="00106ECE" w:rsidP="00B45E1D">
            <w:pPr>
              <w:jc w:val="left"/>
              <w:rPr>
                <w:rFonts w:eastAsia="Arial"/>
              </w:rPr>
            </w:pPr>
            <w:r w:rsidRPr="003F4F8D">
              <w:rPr>
                <w:rFonts w:eastAsia="Arial"/>
              </w:rPr>
              <w:t xml:space="preserve">Der er UTH sagsbehandlere tilknyttet alle enheder på </w:t>
            </w:r>
            <w:r>
              <w:rPr>
                <w:rFonts w:eastAsia="Arial"/>
              </w:rPr>
              <w:t>S</w:t>
            </w:r>
            <w:r w:rsidRPr="003F4F8D">
              <w:rPr>
                <w:rFonts w:eastAsia="Arial"/>
              </w:rPr>
              <w:t>ocialområdet i Randers kommune.</w:t>
            </w:r>
          </w:p>
          <w:p w14:paraId="71F886F6" w14:textId="77777777" w:rsidR="00106ECE" w:rsidRPr="003F4F8D" w:rsidRDefault="00106ECE" w:rsidP="00B45E1D">
            <w:pPr>
              <w:jc w:val="left"/>
              <w:rPr>
                <w:rFonts w:eastAsia="Arial"/>
              </w:rPr>
            </w:pPr>
          </w:p>
          <w:p w14:paraId="665E87F9" w14:textId="77777777" w:rsidR="00106ECE" w:rsidRDefault="00106ECE" w:rsidP="00B45E1D">
            <w:pPr>
              <w:jc w:val="left"/>
              <w:rPr>
                <w:rFonts w:eastAsia="Arial"/>
              </w:rPr>
            </w:pPr>
            <w:r w:rsidRPr="003F4F8D">
              <w:rPr>
                <w:rFonts w:eastAsia="Arial"/>
              </w:rPr>
              <w:t xml:space="preserve">Alle indberettede </w:t>
            </w:r>
            <w:proofErr w:type="spellStart"/>
            <w:r w:rsidRPr="003F4F8D">
              <w:rPr>
                <w:rFonts w:eastAsia="Arial"/>
              </w:rPr>
              <w:t>UTH</w:t>
            </w:r>
            <w:r>
              <w:rPr>
                <w:rFonts w:eastAsia="Arial"/>
              </w:rPr>
              <w:t>´er</w:t>
            </w:r>
            <w:proofErr w:type="spellEnd"/>
            <w:r w:rsidRPr="003F4F8D">
              <w:rPr>
                <w:rFonts w:eastAsia="Arial"/>
              </w:rPr>
              <w:t xml:space="preserve"> sendes til UTH sagsbehandler med henblik på sagsbehandling og læring. </w:t>
            </w:r>
            <w:r>
              <w:rPr>
                <w:rFonts w:eastAsia="Arial"/>
              </w:rPr>
              <w:t>UTH s</w:t>
            </w:r>
            <w:r w:rsidRPr="003F4F8D">
              <w:rPr>
                <w:rFonts w:eastAsia="Arial"/>
              </w:rPr>
              <w:t>agsbehandl</w:t>
            </w:r>
            <w:r>
              <w:rPr>
                <w:rFonts w:eastAsia="Arial"/>
              </w:rPr>
              <w:t>eren er</w:t>
            </w:r>
            <w:r w:rsidRPr="003F4F8D">
              <w:rPr>
                <w:rFonts w:eastAsia="Arial"/>
              </w:rPr>
              <w:t xml:space="preserve"> ansvarlig for at orientere og inddrage ledelsen.</w:t>
            </w:r>
          </w:p>
          <w:p w14:paraId="539337FE" w14:textId="77777777" w:rsidR="00106ECE" w:rsidRDefault="00106ECE" w:rsidP="00B45E1D">
            <w:pPr>
              <w:jc w:val="left"/>
              <w:rPr>
                <w:rFonts w:eastAsia="Arial"/>
              </w:rPr>
            </w:pPr>
          </w:p>
          <w:p w14:paraId="51D7F1A0" w14:textId="77777777" w:rsidR="00106ECE" w:rsidRPr="001F4A29" w:rsidRDefault="00106ECE" w:rsidP="00B45E1D">
            <w:pPr>
              <w:jc w:val="left"/>
              <w:rPr>
                <w:rFonts w:eastAsia="Arial"/>
              </w:rPr>
            </w:pPr>
            <w:r>
              <w:rPr>
                <w:rFonts w:eastAsia="Arial"/>
              </w:rPr>
              <w:t>Skemaer med samlerapporteringer indsamles hver måned og indrapporteres samlet i DPSD.</w:t>
            </w:r>
          </w:p>
          <w:p w14:paraId="645D659C" w14:textId="77777777" w:rsidR="00106ECE" w:rsidRDefault="00106ECE" w:rsidP="00B45E1D">
            <w:pPr>
              <w:jc w:val="left"/>
              <w:rPr>
                <w:rFonts w:eastAsia="Arial"/>
              </w:rPr>
            </w:pPr>
          </w:p>
          <w:p w14:paraId="6E0FED62" w14:textId="77777777" w:rsidR="00106ECE" w:rsidRPr="001F4A29" w:rsidRDefault="00106ECE" w:rsidP="00B45E1D">
            <w:pPr>
              <w:jc w:val="left"/>
              <w:rPr>
                <w:rFonts w:eastAsia="Arial"/>
              </w:rPr>
            </w:pPr>
            <w:r>
              <w:rPr>
                <w:rFonts w:eastAsia="Arial"/>
              </w:rPr>
              <w:t>UTH</w:t>
            </w:r>
            <w:r w:rsidRPr="001F4A29">
              <w:rPr>
                <w:rFonts w:eastAsia="Arial"/>
              </w:rPr>
              <w:t xml:space="preserve"> </w:t>
            </w:r>
            <w:r>
              <w:rPr>
                <w:rFonts w:eastAsia="Arial"/>
              </w:rPr>
              <w:t>sags</w:t>
            </w:r>
            <w:r w:rsidRPr="001F4A29">
              <w:rPr>
                <w:rFonts w:eastAsia="Arial"/>
              </w:rPr>
              <w:t>behandler</w:t>
            </w:r>
            <w:r>
              <w:rPr>
                <w:rFonts w:eastAsia="Arial"/>
              </w:rPr>
              <w:t>ne er ansvarlige</w:t>
            </w:r>
            <w:r w:rsidRPr="001F4A29">
              <w:rPr>
                <w:rFonts w:eastAsia="Arial"/>
              </w:rPr>
              <w:t xml:space="preserve"> for at sikre, at der drages læring og de vil kontakte h</w:t>
            </w:r>
            <w:r>
              <w:rPr>
                <w:rFonts w:eastAsia="Arial"/>
              </w:rPr>
              <w:t>enholdsvis</w:t>
            </w:r>
            <w:r w:rsidRPr="001F4A29">
              <w:rPr>
                <w:rFonts w:eastAsia="Arial"/>
              </w:rPr>
              <w:t xml:space="preserve"> </w:t>
            </w:r>
            <w:r>
              <w:rPr>
                <w:rFonts w:eastAsia="Arial"/>
              </w:rPr>
              <w:t>personalet</w:t>
            </w:r>
            <w:r w:rsidRPr="001F4A29">
              <w:rPr>
                <w:rFonts w:eastAsia="Arial"/>
              </w:rPr>
              <w:t xml:space="preserve"> og afdelingen, såfremt der er behov for en indsats for at forhindre gentagelser.</w:t>
            </w:r>
            <w:r>
              <w:rPr>
                <w:rFonts w:eastAsia="Arial"/>
              </w:rPr>
              <w:t xml:space="preserve"> Ligeledes inddrages ledelsen. </w:t>
            </w:r>
          </w:p>
          <w:p w14:paraId="7412AF07" w14:textId="77777777" w:rsidR="00106ECE" w:rsidRPr="001F4A29" w:rsidRDefault="00106ECE" w:rsidP="00B45E1D">
            <w:pPr>
              <w:jc w:val="left"/>
              <w:rPr>
                <w:rFonts w:eastAsia="Arial"/>
              </w:rPr>
            </w:pPr>
          </w:p>
        </w:tc>
      </w:tr>
      <w:tr w:rsidR="00106ECE" w:rsidRPr="001F4A29" w14:paraId="675DDD9F" w14:textId="77777777" w:rsidTr="00B45E1D">
        <w:trPr>
          <w:trHeight w:val="41"/>
        </w:trPr>
        <w:tc>
          <w:tcPr>
            <w:tcW w:w="3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</w:tcPr>
          <w:p w14:paraId="7FEAE22B" w14:textId="77777777" w:rsidR="00106ECE" w:rsidRPr="001B09B5" w:rsidRDefault="00106ECE" w:rsidP="00B45E1D">
            <w:pPr>
              <w:jc w:val="left"/>
              <w:rPr>
                <w:rFonts w:eastAsia="Arial"/>
                <w:b/>
                <w:bCs/>
              </w:rPr>
            </w:pPr>
            <w:r w:rsidRPr="001B09B5">
              <w:rPr>
                <w:rFonts w:eastAsia="Arial"/>
                <w:b/>
                <w:bCs/>
              </w:rPr>
              <w:t>HUSK</w:t>
            </w:r>
          </w:p>
        </w:tc>
        <w:tc>
          <w:tcPr>
            <w:tcW w:w="7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F39BA1" w14:textId="77777777" w:rsidR="00106ECE" w:rsidRPr="001F4A29" w:rsidRDefault="00106ECE" w:rsidP="00B45E1D">
            <w:pPr>
              <w:jc w:val="left"/>
              <w:rPr>
                <w:rFonts w:eastAsia="Arial"/>
              </w:rPr>
            </w:pPr>
            <w:r w:rsidRPr="007F2665">
              <w:rPr>
                <w:rFonts w:eastAsia="Arial"/>
              </w:rPr>
              <w:t>Al</w:t>
            </w:r>
            <w:r>
              <w:rPr>
                <w:rFonts w:eastAsia="Arial"/>
              </w:rPr>
              <w:t>t personale</w:t>
            </w:r>
            <w:r w:rsidRPr="007F2665">
              <w:rPr>
                <w:rFonts w:eastAsia="Arial"/>
              </w:rPr>
              <w:t xml:space="preserve"> </w:t>
            </w:r>
            <w:r w:rsidRPr="001F4A29">
              <w:rPr>
                <w:rFonts w:eastAsia="Arial"/>
              </w:rPr>
              <w:t xml:space="preserve">i kommunen kan blive involveret i utilsigtede hændelser. </w:t>
            </w:r>
          </w:p>
          <w:p w14:paraId="4CA67430" w14:textId="77777777" w:rsidR="00106ECE" w:rsidRPr="001F4A29" w:rsidRDefault="00106ECE" w:rsidP="00B45E1D">
            <w:pPr>
              <w:jc w:val="left"/>
              <w:rPr>
                <w:rFonts w:eastAsia="Arial"/>
              </w:rPr>
            </w:pPr>
          </w:p>
          <w:p w14:paraId="28C4234A" w14:textId="77777777" w:rsidR="00106ECE" w:rsidRPr="001F4A29" w:rsidRDefault="00106ECE" w:rsidP="00B45E1D">
            <w:pPr>
              <w:jc w:val="left"/>
              <w:rPr>
                <w:rFonts w:eastAsia="Arial"/>
              </w:rPr>
            </w:pPr>
            <w:r w:rsidRPr="001F4A29">
              <w:rPr>
                <w:rFonts w:eastAsia="Arial"/>
              </w:rPr>
              <w:lastRenderedPageBreak/>
              <w:t>De bliver ofte dybt berørt, især når hændelsen har alvorlige konsekvenser for borgeren.</w:t>
            </w:r>
          </w:p>
          <w:p w14:paraId="078A9D29" w14:textId="77777777" w:rsidR="00106ECE" w:rsidRPr="001F4A29" w:rsidRDefault="00106ECE" w:rsidP="00B45E1D">
            <w:pPr>
              <w:jc w:val="left"/>
              <w:rPr>
                <w:rFonts w:eastAsia="Arial"/>
              </w:rPr>
            </w:pPr>
          </w:p>
          <w:p w14:paraId="6BBBE81D" w14:textId="77777777" w:rsidR="00106ECE" w:rsidRDefault="00106ECE" w:rsidP="00B45E1D">
            <w:pPr>
              <w:jc w:val="left"/>
              <w:rPr>
                <w:rFonts w:eastAsia="Arial"/>
              </w:rPr>
            </w:pPr>
            <w:r w:rsidRPr="001F4A29">
              <w:rPr>
                <w:rFonts w:eastAsia="Arial"/>
              </w:rPr>
              <w:t>Husk derfor at drage omsorg for de</w:t>
            </w:r>
            <w:r>
              <w:rPr>
                <w:rFonts w:eastAsia="Arial"/>
              </w:rPr>
              <w:t>t personale</w:t>
            </w:r>
            <w:r w:rsidRPr="001F4A29">
              <w:rPr>
                <w:rFonts w:eastAsia="Arial"/>
              </w:rPr>
              <w:t>, der har været involveret i utilsigtede hændelser.</w:t>
            </w:r>
          </w:p>
          <w:p w14:paraId="22C47F8C" w14:textId="77777777" w:rsidR="00106ECE" w:rsidRPr="001F4A29" w:rsidRDefault="00106ECE" w:rsidP="00B45E1D">
            <w:pPr>
              <w:jc w:val="left"/>
              <w:rPr>
                <w:rFonts w:eastAsia="Arial"/>
              </w:rPr>
            </w:pPr>
          </w:p>
        </w:tc>
      </w:tr>
      <w:tr w:rsidR="00106ECE" w:rsidRPr="001F4A29" w14:paraId="65181239" w14:textId="77777777" w:rsidTr="00B45E1D">
        <w:trPr>
          <w:trHeight w:val="41"/>
        </w:trPr>
        <w:tc>
          <w:tcPr>
            <w:tcW w:w="3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</w:tcPr>
          <w:p w14:paraId="170C0CB5" w14:textId="77777777" w:rsidR="00106ECE" w:rsidRDefault="00106ECE" w:rsidP="00B45E1D">
            <w:pPr>
              <w:jc w:val="left"/>
              <w:rPr>
                <w:rFonts w:eastAsia="Arial"/>
                <w:b/>
                <w:bCs/>
              </w:rPr>
            </w:pPr>
            <w:r>
              <w:rPr>
                <w:rFonts w:eastAsia="Arial"/>
                <w:b/>
                <w:bCs/>
              </w:rPr>
              <w:lastRenderedPageBreak/>
              <w:t>Litteraturreferencer</w:t>
            </w:r>
          </w:p>
          <w:p w14:paraId="44503D77" w14:textId="77777777" w:rsidR="00106ECE" w:rsidRPr="001B09B5" w:rsidRDefault="00106ECE" w:rsidP="00B45E1D">
            <w:pPr>
              <w:jc w:val="left"/>
              <w:rPr>
                <w:rFonts w:eastAsia="Arial"/>
                <w:b/>
                <w:bCs/>
              </w:rPr>
            </w:pPr>
          </w:p>
        </w:tc>
        <w:tc>
          <w:tcPr>
            <w:tcW w:w="7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52E388" w14:textId="77777777" w:rsidR="00106ECE" w:rsidRDefault="00106ECE" w:rsidP="00B45E1D">
            <w:pPr>
              <w:jc w:val="left"/>
              <w:rPr>
                <w:rFonts w:eastAsia="Arial"/>
              </w:rPr>
            </w:pPr>
            <w:r w:rsidRPr="00063DBC">
              <w:rPr>
                <w:rFonts w:eastAsia="Arial"/>
              </w:rPr>
              <w:t>Bekendtgørelse om rapportering af utilsigtede hændelser i sundhedsvæsenet m.v., BEK nr. 1 af 03/01/2011</w:t>
            </w:r>
            <w:r>
              <w:rPr>
                <w:rFonts w:eastAsia="Arial"/>
              </w:rPr>
              <w:t xml:space="preserve">, </w:t>
            </w:r>
            <w:hyperlink r:id="rId12" w:history="1">
              <w:r w:rsidRPr="006D7AED">
                <w:rPr>
                  <w:rStyle w:val="Hyperlink"/>
                  <w:rFonts w:eastAsia="Arial"/>
                </w:rPr>
                <w:t>https://www.retsinformation.dk/eli/lta/2011/1</w:t>
              </w:r>
            </w:hyperlink>
          </w:p>
          <w:p w14:paraId="67EFC86C" w14:textId="77777777" w:rsidR="00106ECE" w:rsidRDefault="00106ECE" w:rsidP="00B45E1D">
            <w:pPr>
              <w:jc w:val="left"/>
              <w:rPr>
                <w:rFonts w:eastAsia="Arial"/>
              </w:rPr>
            </w:pPr>
          </w:p>
          <w:p w14:paraId="74E8C646" w14:textId="77777777" w:rsidR="00106ECE" w:rsidRDefault="00106ECE" w:rsidP="00B45E1D">
            <w:pPr>
              <w:jc w:val="left"/>
              <w:rPr>
                <w:rFonts w:eastAsia="Arial"/>
              </w:rPr>
            </w:pPr>
          </w:p>
          <w:p w14:paraId="210B72FA" w14:textId="77777777" w:rsidR="00106ECE" w:rsidRDefault="00106ECE" w:rsidP="00B45E1D">
            <w:pPr>
              <w:jc w:val="left"/>
              <w:rPr>
                <w:rFonts w:eastAsia="Arial"/>
              </w:rPr>
            </w:pPr>
            <w:r>
              <w:rPr>
                <w:rFonts w:eastAsia="Arial"/>
              </w:rPr>
              <w:t xml:space="preserve">Styrelsen for Patientsikkerhed, </w:t>
            </w:r>
            <w:hyperlink r:id="rId13" w:history="1">
              <w:r w:rsidRPr="006D7AED">
                <w:rPr>
                  <w:rStyle w:val="Hyperlink"/>
                  <w:rFonts w:eastAsia="Arial"/>
                </w:rPr>
                <w:t>https://stps.dk/da/laering/utilsigtede-haendelser/</w:t>
              </w:r>
            </w:hyperlink>
          </w:p>
          <w:p w14:paraId="4F46AAEC" w14:textId="77777777" w:rsidR="00106ECE" w:rsidRPr="001F4A29" w:rsidRDefault="00106ECE" w:rsidP="00B45E1D">
            <w:pPr>
              <w:jc w:val="left"/>
              <w:rPr>
                <w:rFonts w:eastAsia="Arial"/>
              </w:rPr>
            </w:pPr>
          </w:p>
        </w:tc>
      </w:tr>
      <w:tr w:rsidR="00106ECE" w:rsidRPr="00063F99" w14:paraId="23A45FCB" w14:textId="77777777" w:rsidTr="00B45E1D">
        <w:tblPrEx>
          <w:tblCellMar>
            <w:top w:w="8" w:type="dxa"/>
            <w:right w:w="52" w:type="dxa"/>
          </w:tblCellMar>
        </w:tblPrEx>
        <w:trPr>
          <w:trHeight w:val="1159"/>
        </w:trPr>
        <w:tc>
          <w:tcPr>
            <w:tcW w:w="3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</w:tcPr>
          <w:p w14:paraId="67800386" w14:textId="77777777" w:rsidR="00106ECE" w:rsidRPr="001B09B5" w:rsidRDefault="00106ECE" w:rsidP="00B45E1D">
            <w:pPr>
              <w:jc w:val="left"/>
              <w:rPr>
                <w:rFonts w:eastAsia="Arial"/>
                <w:b/>
                <w:bCs/>
              </w:rPr>
            </w:pPr>
            <w:r w:rsidRPr="001B09B5">
              <w:rPr>
                <w:rFonts w:eastAsia="Arial"/>
                <w:b/>
                <w:bCs/>
              </w:rPr>
              <w:t>Udarbejdet den:</w:t>
            </w:r>
          </w:p>
          <w:p w14:paraId="35141E52" w14:textId="77777777" w:rsidR="00106ECE" w:rsidRPr="001B09B5" w:rsidRDefault="00106ECE" w:rsidP="00B45E1D">
            <w:pPr>
              <w:jc w:val="left"/>
              <w:rPr>
                <w:rFonts w:eastAsia="Arial"/>
                <w:b/>
                <w:bCs/>
              </w:rPr>
            </w:pPr>
          </w:p>
          <w:p w14:paraId="5FDC062E" w14:textId="77777777" w:rsidR="00106ECE" w:rsidRPr="001B09B5" w:rsidRDefault="00106ECE" w:rsidP="00B45E1D">
            <w:pPr>
              <w:jc w:val="left"/>
              <w:rPr>
                <w:rFonts w:eastAsia="Arial"/>
                <w:b/>
                <w:bCs/>
              </w:rPr>
            </w:pPr>
            <w:r w:rsidRPr="001B09B5">
              <w:rPr>
                <w:rFonts w:eastAsia="Arial"/>
                <w:b/>
                <w:bCs/>
              </w:rPr>
              <w:t>Udarbejdet af:</w:t>
            </w:r>
          </w:p>
          <w:p w14:paraId="16E5FD1D" w14:textId="77777777" w:rsidR="00106ECE" w:rsidRPr="001B09B5" w:rsidRDefault="00106ECE" w:rsidP="00B45E1D">
            <w:pPr>
              <w:jc w:val="left"/>
              <w:rPr>
                <w:rFonts w:eastAsia="Arial"/>
                <w:b/>
                <w:bCs/>
              </w:rPr>
            </w:pPr>
          </w:p>
          <w:p w14:paraId="102BF251" w14:textId="77777777" w:rsidR="00106ECE" w:rsidRPr="001B09B5" w:rsidRDefault="00106ECE" w:rsidP="00B45E1D">
            <w:pPr>
              <w:jc w:val="left"/>
              <w:rPr>
                <w:rFonts w:eastAsia="Arial"/>
                <w:b/>
                <w:bCs/>
              </w:rPr>
            </w:pPr>
          </w:p>
          <w:p w14:paraId="00FBCA6C" w14:textId="77777777" w:rsidR="00106ECE" w:rsidRPr="001B09B5" w:rsidRDefault="00106ECE" w:rsidP="00B45E1D">
            <w:pPr>
              <w:jc w:val="left"/>
              <w:rPr>
                <w:rFonts w:eastAsia="Arial"/>
                <w:b/>
                <w:bCs/>
              </w:rPr>
            </w:pPr>
            <w:r w:rsidRPr="001B09B5">
              <w:rPr>
                <w:rFonts w:eastAsia="Arial"/>
                <w:b/>
                <w:bCs/>
              </w:rPr>
              <w:t>Sidst revideret:</w:t>
            </w:r>
          </w:p>
          <w:p w14:paraId="56913F2A" w14:textId="77777777" w:rsidR="00106ECE" w:rsidRPr="001B09B5" w:rsidRDefault="00106ECE" w:rsidP="00B45E1D">
            <w:pPr>
              <w:jc w:val="left"/>
              <w:rPr>
                <w:rFonts w:eastAsia="Arial"/>
                <w:b/>
                <w:bCs/>
              </w:rPr>
            </w:pPr>
          </w:p>
          <w:p w14:paraId="1D31155D" w14:textId="77777777" w:rsidR="00106ECE" w:rsidRPr="001B09B5" w:rsidRDefault="00106ECE" w:rsidP="00B45E1D">
            <w:pPr>
              <w:jc w:val="left"/>
              <w:rPr>
                <w:rFonts w:eastAsia="Arial"/>
                <w:b/>
                <w:bCs/>
              </w:rPr>
            </w:pPr>
            <w:r w:rsidRPr="001B09B5">
              <w:rPr>
                <w:rFonts w:eastAsia="Arial"/>
                <w:b/>
                <w:bCs/>
              </w:rPr>
              <w:t>Revideres inden:</w:t>
            </w:r>
          </w:p>
          <w:p w14:paraId="7F0D4D53" w14:textId="77777777" w:rsidR="00106ECE" w:rsidRPr="001B09B5" w:rsidRDefault="00106ECE" w:rsidP="00B45E1D">
            <w:pPr>
              <w:jc w:val="left"/>
              <w:rPr>
                <w:rFonts w:eastAsia="Arial"/>
                <w:b/>
                <w:bCs/>
              </w:rPr>
            </w:pPr>
          </w:p>
          <w:p w14:paraId="3C5C605D" w14:textId="77777777" w:rsidR="00106ECE" w:rsidRPr="001B09B5" w:rsidRDefault="00106ECE" w:rsidP="00B45E1D">
            <w:pPr>
              <w:jc w:val="left"/>
              <w:rPr>
                <w:rFonts w:eastAsia="Arial"/>
                <w:b/>
                <w:bCs/>
              </w:rPr>
            </w:pPr>
            <w:r w:rsidRPr="001B09B5">
              <w:rPr>
                <w:rFonts w:eastAsia="Arial"/>
                <w:b/>
                <w:bCs/>
              </w:rPr>
              <w:t>Godkendt af:</w:t>
            </w:r>
          </w:p>
        </w:tc>
        <w:tc>
          <w:tcPr>
            <w:tcW w:w="7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E9A953" w14:textId="77777777" w:rsidR="00106ECE" w:rsidRDefault="00106ECE" w:rsidP="00B45E1D">
            <w:pPr>
              <w:jc w:val="left"/>
              <w:rPr>
                <w:rFonts w:eastAsia="Arial"/>
              </w:rPr>
            </w:pPr>
            <w:r>
              <w:rPr>
                <w:rFonts w:eastAsia="Arial"/>
              </w:rPr>
              <w:t>April 2019</w:t>
            </w:r>
          </w:p>
          <w:p w14:paraId="2511B151" w14:textId="77777777" w:rsidR="00106ECE" w:rsidRDefault="00106ECE" w:rsidP="00B45E1D">
            <w:pPr>
              <w:jc w:val="left"/>
              <w:rPr>
                <w:rFonts w:eastAsia="Arial"/>
              </w:rPr>
            </w:pPr>
          </w:p>
          <w:p w14:paraId="32CC33F0" w14:textId="77777777" w:rsidR="00106ECE" w:rsidRPr="00FF0EB0" w:rsidRDefault="00106ECE" w:rsidP="00B45E1D">
            <w:pPr>
              <w:jc w:val="left"/>
              <w:rPr>
                <w:rFonts w:eastAsia="Arial"/>
              </w:rPr>
            </w:pPr>
            <w:r>
              <w:rPr>
                <w:rFonts w:eastAsia="Arial"/>
              </w:rPr>
              <w:t xml:space="preserve">Grete Ølgaard Sygeplejerske, Anne Skov kvalitetssygeplejerske og Ghita </w:t>
            </w:r>
            <w:r w:rsidRPr="00FF0EB0">
              <w:rPr>
                <w:rFonts w:eastAsia="Arial"/>
              </w:rPr>
              <w:t xml:space="preserve">Steenholt, </w:t>
            </w:r>
            <w:r>
              <w:rPr>
                <w:rFonts w:eastAsia="Arial"/>
              </w:rPr>
              <w:t>Cand. Cur.</w:t>
            </w:r>
          </w:p>
          <w:p w14:paraId="5EF14AEA" w14:textId="77777777" w:rsidR="00106ECE" w:rsidRDefault="00106ECE" w:rsidP="00B45E1D">
            <w:pPr>
              <w:jc w:val="left"/>
              <w:rPr>
                <w:rFonts w:eastAsia="Arial"/>
              </w:rPr>
            </w:pPr>
          </w:p>
          <w:p w14:paraId="69D3CCD8" w14:textId="77777777" w:rsidR="00106ECE" w:rsidRDefault="00106ECE" w:rsidP="00B45E1D">
            <w:pPr>
              <w:jc w:val="left"/>
              <w:rPr>
                <w:rFonts w:eastAsia="Arial"/>
              </w:rPr>
            </w:pPr>
            <w:r>
              <w:rPr>
                <w:rFonts w:eastAsia="Arial"/>
              </w:rPr>
              <w:t>Marts 2023</w:t>
            </w:r>
          </w:p>
          <w:p w14:paraId="7D667280" w14:textId="77777777" w:rsidR="00106ECE" w:rsidRDefault="00106ECE" w:rsidP="00B45E1D">
            <w:pPr>
              <w:jc w:val="left"/>
              <w:rPr>
                <w:rFonts w:eastAsia="Arial"/>
              </w:rPr>
            </w:pPr>
          </w:p>
          <w:p w14:paraId="5E439840" w14:textId="77777777" w:rsidR="00106ECE" w:rsidRDefault="00106ECE" w:rsidP="00B45E1D">
            <w:pPr>
              <w:jc w:val="left"/>
              <w:rPr>
                <w:rFonts w:eastAsia="Arial"/>
              </w:rPr>
            </w:pPr>
            <w:r w:rsidRPr="00FF0EB0">
              <w:rPr>
                <w:rFonts w:eastAsia="Arial"/>
              </w:rPr>
              <w:t xml:space="preserve">Revideres efter behov og senest </w:t>
            </w:r>
            <w:r>
              <w:rPr>
                <w:rFonts w:eastAsia="Arial"/>
              </w:rPr>
              <w:t>april</w:t>
            </w:r>
            <w:r w:rsidRPr="00FF0EB0">
              <w:rPr>
                <w:rFonts w:eastAsia="Arial"/>
              </w:rPr>
              <w:t xml:space="preserve"> 20</w:t>
            </w:r>
            <w:r>
              <w:rPr>
                <w:rFonts w:eastAsia="Arial"/>
              </w:rPr>
              <w:t>25.</w:t>
            </w:r>
          </w:p>
          <w:p w14:paraId="6234C3E9" w14:textId="77777777" w:rsidR="00106ECE" w:rsidRDefault="00106ECE" w:rsidP="00B45E1D">
            <w:pPr>
              <w:jc w:val="left"/>
              <w:rPr>
                <w:rFonts w:eastAsia="Arial"/>
              </w:rPr>
            </w:pPr>
          </w:p>
          <w:p w14:paraId="1D4CBABB" w14:textId="77777777" w:rsidR="00106ECE" w:rsidRPr="00063F99" w:rsidRDefault="00106ECE" w:rsidP="00B45E1D">
            <w:pPr>
              <w:jc w:val="left"/>
              <w:rPr>
                <w:rFonts w:eastAsia="Arial"/>
              </w:rPr>
            </w:pPr>
            <w:r w:rsidRPr="001149E4">
              <w:rPr>
                <w:rFonts w:eastAsia="Arial"/>
              </w:rPr>
              <w:t xml:space="preserve">Centerledergruppen og </w:t>
            </w:r>
            <w:r>
              <w:rPr>
                <w:rFonts w:eastAsia="Arial"/>
              </w:rPr>
              <w:t>S</w:t>
            </w:r>
            <w:r w:rsidRPr="001149E4">
              <w:rPr>
                <w:rFonts w:eastAsia="Arial"/>
              </w:rPr>
              <w:t>ocialchefen</w:t>
            </w:r>
          </w:p>
        </w:tc>
      </w:tr>
    </w:tbl>
    <w:p w14:paraId="4113B847" w14:textId="385661A2" w:rsidR="00106ECE" w:rsidRDefault="00106ECE" w:rsidP="00CC3AD0"/>
    <w:bookmarkEnd w:id="0"/>
    <w:sectPr w:rsidR="00106ECE" w:rsidSect="006F51D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0B3FB" w14:textId="77777777" w:rsidR="00CC3AD0" w:rsidRDefault="00CC3AD0" w:rsidP="00CC3AD0">
      <w:r>
        <w:separator/>
      </w:r>
    </w:p>
  </w:endnote>
  <w:endnote w:type="continuationSeparator" w:id="0">
    <w:p w14:paraId="229783AC" w14:textId="77777777" w:rsidR="00CC3AD0" w:rsidRDefault="00CC3AD0" w:rsidP="00CC3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10588" w14:textId="77777777" w:rsidR="00C55749" w:rsidRDefault="00C55749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4A4D3" w14:textId="77777777" w:rsidR="00C55749" w:rsidRDefault="00C55749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7E1EA" w14:textId="77777777" w:rsidR="00C55749" w:rsidRDefault="00C5574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3B559" w14:textId="77777777" w:rsidR="00CC3AD0" w:rsidRDefault="00CC3AD0" w:rsidP="00CC3AD0">
      <w:r>
        <w:separator/>
      </w:r>
    </w:p>
  </w:footnote>
  <w:footnote w:type="continuationSeparator" w:id="0">
    <w:p w14:paraId="5CE254A1" w14:textId="77777777" w:rsidR="00CC3AD0" w:rsidRDefault="00CC3AD0" w:rsidP="00CC3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984E7" w14:textId="77777777" w:rsidR="00C55749" w:rsidRDefault="00C55749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FB70F" w14:textId="77777777" w:rsidR="00CC3AD0" w:rsidRDefault="00CC3AD0" w:rsidP="00CC3AD0">
    <w:pPr>
      <w:pStyle w:val="Sidehoved"/>
    </w:pPr>
    <w:bookmarkStart w:id="2" w:name="_Hlk134434705"/>
    <w:r w:rsidRPr="002614B0">
      <w:rPr>
        <w:noProof/>
      </w:rPr>
      <w:drawing>
        <wp:inline distT="0" distB="0" distL="0" distR="0" wp14:anchorId="7AFE74D1" wp14:editId="0ED462E0">
          <wp:extent cx="1647825" cy="145786"/>
          <wp:effectExtent l="0" t="0" r="0" b="6985"/>
          <wp:docPr id="12" name="Billed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9217" cy="1538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  <w:t xml:space="preserve">   </w:t>
    </w:r>
    <w:r w:rsidRPr="000F602F">
      <w:rPr>
        <w:noProof/>
      </w:rPr>
      <w:drawing>
        <wp:inline distT="0" distB="0" distL="0" distR="0" wp14:anchorId="04E1E30D" wp14:editId="68D01B9F">
          <wp:extent cx="598023" cy="713967"/>
          <wp:effectExtent l="0" t="0" r="0" b="0"/>
          <wp:docPr id="13" name="Billed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028" cy="725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2"/>
  <w:p w14:paraId="52AAAB81" w14:textId="77777777" w:rsidR="00CC3AD0" w:rsidRDefault="00CC3AD0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6E90D" w14:textId="77777777" w:rsidR="00C55749" w:rsidRDefault="00C55749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95910"/>
    <w:multiLevelType w:val="hybridMultilevel"/>
    <w:tmpl w:val="E11EB71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E424B6"/>
    <w:multiLevelType w:val="hybridMultilevel"/>
    <w:tmpl w:val="427E565E"/>
    <w:lvl w:ilvl="0" w:tplc="377E3104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950FE"/>
    <w:multiLevelType w:val="hybridMultilevel"/>
    <w:tmpl w:val="D58CED88"/>
    <w:lvl w:ilvl="0" w:tplc="377E3104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7E3104">
      <w:start w:val="1"/>
      <w:numFmt w:val="bullet"/>
      <w:lvlText w:val="-"/>
      <w:lvlJc w:val="left"/>
      <w:pPr>
        <w:ind w:left="180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4C3321"/>
    <w:multiLevelType w:val="hybridMultilevel"/>
    <w:tmpl w:val="545CE34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B1660A"/>
    <w:multiLevelType w:val="hybridMultilevel"/>
    <w:tmpl w:val="D884C53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77E3104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D9706C"/>
    <w:multiLevelType w:val="hybridMultilevel"/>
    <w:tmpl w:val="76C27D04"/>
    <w:lvl w:ilvl="0" w:tplc="377E3104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700A7C"/>
    <w:multiLevelType w:val="hybridMultilevel"/>
    <w:tmpl w:val="2F346E8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3D197E"/>
    <w:multiLevelType w:val="hybridMultilevel"/>
    <w:tmpl w:val="563800F2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FA31DF"/>
    <w:multiLevelType w:val="hybridMultilevel"/>
    <w:tmpl w:val="CAC46C2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5D05E0"/>
    <w:multiLevelType w:val="hybridMultilevel"/>
    <w:tmpl w:val="413647E2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4E79E1"/>
    <w:multiLevelType w:val="hybridMultilevel"/>
    <w:tmpl w:val="E0ACE226"/>
    <w:lvl w:ilvl="0" w:tplc="80A00830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28F1E0">
      <w:start w:val="1"/>
      <w:numFmt w:val="bullet"/>
      <w:lvlText w:val="o"/>
      <w:lvlJc w:val="left"/>
      <w:pPr>
        <w:ind w:left="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1B2855E">
      <w:start w:val="1"/>
      <w:numFmt w:val="bullet"/>
      <w:lvlText w:val="▪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407F14">
      <w:start w:val="1"/>
      <w:numFmt w:val="bullet"/>
      <w:lvlText w:val="•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A268C2">
      <w:start w:val="1"/>
      <w:numFmt w:val="bullet"/>
      <w:lvlText w:val="o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A5C2B7A">
      <w:start w:val="1"/>
      <w:numFmt w:val="bullet"/>
      <w:lvlText w:val="▪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2CA3F4C">
      <w:start w:val="1"/>
      <w:numFmt w:val="bullet"/>
      <w:lvlText w:val="•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AB2A9BE">
      <w:start w:val="1"/>
      <w:numFmt w:val="bullet"/>
      <w:lvlText w:val="o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6A8314">
      <w:start w:val="1"/>
      <w:numFmt w:val="bullet"/>
      <w:lvlText w:val="▪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F0A53B0"/>
    <w:multiLevelType w:val="hybridMultilevel"/>
    <w:tmpl w:val="8F50530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50575"/>
    <w:multiLevelType w:val="hybridMultilevel"/>
    <w:tmpl w:val="35C2A6A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5D27703"/>
    <w:multiLevelType w:val="hybridMultilevel"/>
    <w:tmpl w:val="5FF4B17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C1539E"/>
    <w:multiLevelType w:val="hybridMultilevel"/>
    <w:tmpl w:val="331877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5E067E"/>
    <w:multiLevelType w:val="hybridMultilevel"/>
    <w:tmpl w:val="824AD07C"/>
    <w:lvl w:ilvl="0" w:tplc="377E3104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A805748"/>
    <w:multiLevelType w:val="hybridMultilevel"/>
    <w:tmpl w:val="44782DC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AB79EE"/>
    <w:multiLevelType w:val="hybridMultilevel"/>
    <w:tmpl w:val="D36ED32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412787E"/>
    <w:multiLevelType w:val="hybridMultilevel"/>
    <w:tmpl w:val="50F0701E"/>
    <w:lvl w:ilvl="0" w:tplc="0406000D">
      <w:start w:val="1"/>
      <w:numFmt w:val="bullet"/>
      <w:lvlText w:val=""/>
      <w:lvlJc w:val="left"/>
      <w:pPr>
        <w:ind w:left="724"/>
      </w:pPr>
      <w:rPr>
        <w:rFonts w:ascii="Wingdings" w:hAnsi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9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1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8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6554BAE"/>
    <w:multiLevelType w:val="hybridMultilevel"/>
    <w:tmpl w:val="54747656"/>
    <w:lvl w:ilvl="0" w:tplc="377E3104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80876A5"/>
    <w:multiLevelType w:val="hybridMultilevel"/>
    <w:tmpl w:val="CA387388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CFC09BB"/>
    <w:multiLevelType w:val="hybridMultilevel"/>
    <w:tmpl w:val="E086269C"/>
    <w:lvl w:ilvl="0" w:tplc="377E3104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BE03E10"/>
    <w:multiLevelType w:val="hybridMultilevel"/>
    <w:tmpl w:val="52F0559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036D50"/>
    <w:multiLevelType w:val="hybridMultilevel"/>
    <w:tmpl w:val="EEE433E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E933A84"/>
    <w:multiLevelType w:val="hybridMultilevel"/>
    <w:tmpl w:val="1CEE22B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0E3CAD"/>
    <w:multiLevelType w:val="hybridMultilevel"/>
    <w:tmpl w:val="F8EE701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1619138">
    <w:abstractNumId w:val="3"/>
  </w:num>
  <w:num w:numId="2" w16cid:durableId="1645038708">
    <w:abstractNumId w:val="9"/>
  </w:num>
  <w:num w:numId="3" w16cid:durableId="1278486327">
    <w:abstractNumId w:val="25"/>
  </w:num>
  <w:num w:numId="4" w16cid:durableId="413863793">
    <w:abstractNumId w:val="12"/>
  </w:num>
  <w:num w:numId="5" w16cid:durableId="615914891">
    <w:abstractNumId w:val="0"/>
  </w:num>
  <w:num w:numId="6" w16cid:durableId="569195845">
    <w:abstractNumId w:val="6"/>
  </w:num>
  <w:num w:numId="7" w16cid:durableId="1278179685">
    <w:abstractNumId w:val="5"/>
  </w:num>
  <w:num w:numId="8" w16cid:durableId="1671172521">
    <w:abstractNumId w:val="23"/>
  </w:num>
  <w:num w:numId="9" w16cid:durableId="553852296">
    <w:abstractNumId w:val="4"/>
  </w:num>
  <w:num w:numId="10" w16cid:durableId="649557838">
    <w:abstractNumId w:val="22"/>
  </w:num>
  <w:num w:numId="11" w16cid:durableId="972174360">
    <w:abstractNumId w:val="11"/>
  </w:num>
  <w:num w:numId="12" w16cid:durableId="965545792">
    <w:abstractNumId w:val="2"/>
  </w:num>
  <w:num w:numId="13" w16cid:durableId="935752110">
    <w:abstractNumId w:val="15"/>
  </w:num>
  <w:num w:numId="14" w16cid:durableId="2030252388">
    <w:abstractNumId w:val="24"/>
  </w:num>
  <w:num w:numId="15" w16cid:durableId="259684477">
    <w:abstractNumId w:val="19"/>
  </w:num>
  <w:num w:numId="16" w16cid:durableId="781418291">
    <w:abstractNumId w:val="21"/>
  </w:num>
  <w:num w:numId="17" w16cid:durableId="380790554">
    <w:abstractNumId w:val="20"/>
  </w:num>
  <w:num w:numId="18" w16cid:durableId="464395869">
    <w:abstractNumId w:val="8"/>
  </w:num>
  <w:num w:numId="19" w16cid:durableId="451097478">
    <w:abstractNumId w:val="1"/>
  </w:num>
  <w:num w:numId="20" w16cid:durableId="1316030372">
    <w:abstractNumId w:val="17"/>
  </w:num>
  <w:num w:numId="21" w16cid:durableId="73744377">
    <w:abstractNumId w:val="10"/>
  </w:num>
  <w:num w:numId="22" w16cid:durableId="1677267903">
    <w:abstractNumId w:val="18"/>
  </w:num>
  <w:num w:numId="23" w16cid:durableId="796488674">
    <w:abstractNumId w:val="16"/>
  </w:num>
  <w:num w:numId="24" w16cid:durableId="1949385916">
    <w:abstractNumId w:val="7"/>
  </w:num>
  <w:num w:numId="25" w16cid:durableId="831027653">
    <w:abstractNumId w:val="13"/>
  </w:num>
  <w:num w:numId="26" w16cid:durableId="1429765576">
    <w:abstractNumId w:val="1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372"/>
    <w:rsid w:val="00000197"/>
    <w:rsid w:val="00026A2F"/>
    <w:rsid w:val="00054019"/>
    <w:rsid w:val="000709EE"/>
    <w:rsid w:val="000936E1"/>
    <w:rsid w:val="000D2EDD"/>
    <w:rsid w:val="000E4372"/>
    <w:rsid w:val="000F1719"/>
    <w:rsid w:val="00106ECE"/>
    <w:rsid w:val="0017025C"/>
    <w:rsid w:val="001C3517"/>
    <w:rsid w:val="001D25A8"/>
    <w:rsid w:val="00220F62"/>
    <w:rsid w:val="00231828"/>
    <w:rsid w:val="00243D7F"/>
    <w:rsid w:val="002514C0"/>
    <w:rsid w:val="002614B0"/>
    <w:rsid w:val="00276922"/>
    <w:rsid w:val="00276DE1"/>
    <w:rsid w:val="002D4B0A"/>
    <w:rsid w:val="002E78DD"/>
    <w:rsid w:val="002F0D0E"/>
    <w:rsid w:val="0033655E"/>
    <w:rsid w:val="003A392B"/>
    <w:rsid w:val="003B0C7B"/>
    <w:rsid w:val="003B62D8"/>
    <w:rsid w:val="003E0EF6"/>
    <w:rsid w:val="003E49D9"/>
    <w:rsid w:val="003F15B5"/>
    <w:rsid w:val="00432D40"/>
    <w:rsid w:val="00455117"/>
    <w:rsid w:val="004E20F1"/>
    <w:rsid w:val="005134C4"/>
    <w:rsid w:val="00525822"/>
    <w:rsid w:val="00543D6F"/>
    <w:rsid w:val="00544B2B"/>
    <w:rsid w:val="00561775"/>
    <w:rsid w:val="005914A8"/>
    <w:rsid w:val="00597CC9"/>
    <w:rsid w:val="005C4D25"/>
    <w:rsid w:val="005C4EC2"/>
    <w:rsid w:val="005C5B17"/>
    <w:rsid w:val="005E7C80"/>
    <w:rsid w:val="00603994"/>
    <w:rsid w:val="00610B7C"/>
    <w:rsid w:val="00622E44"/>
    <w:rsid w:val="006378A5"/>
    <w:rsid w:val="00666F95"/>
    <w:rsid w:val="00667645"/>
    <w:rsid w:val="006A4619"/>
    <w:rsid w:val="006F51DD"/>
    <w:rsid w:val="006F5B38"/>
    <w:rsid w:val="00701696"/>
    <w:rsid w:val="00773E87"/>
    <w:rsid w:val="00787009"/>
    <w:rsid w:val="007B617D"/>
    <w:rsid w:val="007C4F2F"/>
    <w:rsid w:val="007F1645"/>
    <w:rsid w:val="00802086"/>
    <w:rsid w:val="00810A7B"/>
    <w:rsid w:val="008367AC"/>
    <w:rsid w:val="00871EF7"/>
    <w:rsid w:val="008731AA"/>
    <w:rsid w:val="00884868"/>
    <w:rsid w:val="008A67DE"/>
    <w:rsid w:val="008E5007"/>
    <w:rsid w:val="009016E6"/>
    <w:rsid w:val="00910A72"/>
    <w:rsid w:val="00914DB1"/>
    <w:rsid w:val="00930803"/>
    <w:rsid w:val="009734C4"/>
    <w:rsid w:val="00975907"/>
    <w:rsid w:val="009B24FF"/>
    <w:rsid w:val="009C19D6"/>
    <w:rsid w:val="00A12D5B"/>
    <w:rsid w:val="00A26A87"/>
    <w:rsid w:val="00A86CA0"/>
    <w:rsid w:val="00A9527D"/>
    <w:rsid w:val="00A96958"/>
    <w:rsid w:val="00AC0E67"/>
    <w:rsid w:val="00B065E4"/>
    <w:rsid w:val="00B2455F"/>
    <w:rsid w:val="00B257DC"/>
    <w:rsid w:val="00B36E63"/>
    <w:rsid w:val="00B40E3E"/>
    <w:rsid w:val="00B6387C"/>
    <w:rsid w:val="00C15955"/>
    <w:rsid w:val="00C20C48"/>
    <w:rsid w:val="00C55749"/>
    <w:rsid w:val="00C95685"/>
    <w:rsid w:val="00CC3AD0"/>
    <w:rsid w:val="00CF3959"/>
    <w:rsid w:val="00D35B1D"/>
    <w:rsid w:val="00D5554B"/>
    <w:rsid w:val="00D8092E"/>
    <w:rsid w:val="00DA043B"/>
    <w:rsid w:val="00DE02E4"/>
    <w:rsid w:val="00DF25A6"/>
    <w:rsid w:val="00E04C29"/>
    <w:rsid w:val="00E10A47"/>
    <w:rsid w:val="00E23047"/>
    <w:rsid w:val="00E9551B"/>
    <w:rsid w:val="00E96DE6"/>
    <w:rsid w:val="00EA4F7F"/>
    <w:rsid w:val="00ED1CF5"/>
    <w:rsid w:val="00ED253D"/>
    <w:rsid w:val="00FC0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A403DB"/>
  <w15:chartTrackingRefBased/>
  <w15:docId w15:val="{EC07C21D-7DB9-4CFA-81D7-3F96C81E2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2"/>
        <w:szCs w:val="22"/>
        <w:lang w:val="da-DK" w:eastAsia="en-US" w:bidi="ar-SA"/>
      </w:rPr>
    </w:rPrDefault>
    <w:pPrDefault>
      <w:pPr>
        <w:spacing w:after="160" w:line="2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4372"/>
    <w:pPr>
      <w:spacing w:after="0" w:line="240" w:lineRule="auto"/>
      <w:jc w:val="both"/>
    </w:pPr>
    <w:rPr>
      <w:rFonts w:ascii="Arial" w:eastAsia="Times New Roman" w:hAnsi="Arial" w:cs="Arial"/>
      <w:color w:val="000000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C19D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sz w:val="4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D4B0A"/>
    <w:pPr>
      <w:spacing w:before="360"/>
      <w:outlineLvl w:val="1"/>
    </w:pPr>
    <w:rPr>
      <w:rFonts w:asciiTheme="majorHAnsi" w:hAnsiTheme="majorHAnsi"/>
      <w:b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D4B0A"/>
    <w:pPr>
      <w:keepNext/>
      <w:keepLines/>
      <w:spacing w:before="360"/>
      <w:outlineLvl w:val="2"/>
    </w:pPr>
    <w:rPr>
      <w:rFonts w:asciiTheme="majorHAnsi" w:eastAsiaTheme="majorEastAsia" w:hAnsiTheme="majorHAnsi" w:cstheme="majorHAnsi"/>
      <w:b/>
      <w:sz w:val="28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561775"/>
    <w:pPr>
      <w:keepNext/>
      <w:keepLines/>
      <w:spacing w:before="240"/>
      <w:outlineLvl w:val="3"/>
    </w:pPr>
    <w:rPr>
      <w:rFonts w:asciiTheme="majorHAnsi" w:eastAsiaTheme="majorEastAsia" w:hAnsiTheme="majorHAnsi" w:cstheme="majorHAnsi"/>
      <w:b/>
      <w:iCs/>
      <w:sz w:val="24"/>
    </w:rPr>
  </w:style>
  <w:style w:type="paragraph" w:styleId="Overskrift5">
    <w:name w:val="heading 5"/>
    <w:basedOn w:val="Normal"/>
    <w:next w:val="Normal"/>
    <w:link w:val="Overskrift5Tegn"/>
    <w:uiPriority w:val="9"/>
    <w:unhideWhenUsed/>
    <w:rsid w:val="00787009"/>
    <w:pPr>
      <w:keepNext/>
      <w:keepLines/>
      <w:spacing w:before="240"/>
      <w:outlineLvl w:val="4"/>
    </w:pPr>
    <w:rPr>
      <w:rFonts w:asciiTheme="majorHAnsi" w:eastAsiaTheme="majorEastAsia" w:hAnsiTheme="majorHAnsi" w:cstheme="majorBidi"/>
      <w:i/>
    </w:rPr>
  </w:style>
  <w:style w:type="paragraph" w:styleId="Overskrift6">
    <w:name w:val="heading 6"/>
    <w:basedOn w:val="Normal"/>
    <w:next w:val="Normal"/>
    <w:link w:val="Overskrift6Tegn"/>
    <w:uiPriority w:val="9"/>
    <w:unhideWhenUsed/>
    <w:rsid w:val="003E49D9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Overskrift7">
    <w:name w:val="heading 7"/>
    <w:basedOn w:val="Normal"/>
    <w:next w:val="Normal"/>
    <w:link w:val="Overskrift7Tegn"/>
    <w:uiPriority w:val="9"/>
    <w:unhideWhenUsed/>
    <w:rsid w:val="002D4B0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unhideWhenUsed/>
    <w:rsid w:val="002D4B0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unhideWhenUsed/>
    <w:rsid w:val="002D4B0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C19D6"/>
    <w:rPr>
      <w:rFonts w:asciiTheme="majorHAnsi" w:eastAsiaTheme="majorEastAsia" w:hAnsiTheme="majorHAnsi" w:cstheme="majorBidi"/>
      <w:b/>
      <w:sz w:val="40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ED253D"/>
    <w:rPr>
      <w:rFonts w:asciiTheme="majorHAnsi" w:hAnsiTheme="majorHAnsi"/>
      <w:b/>
      <w:sz w:val="36"/>
      <w:szCs w:val="26"/>
    </w:rPr>
  </w:style>
  <w:style w:type="paragraph" w:styleId="Titel">
    <w:name w:val="Title"/>
    <w:aliases w:val="Rapportnavn"/>
    <w:basedOn w:val="Normal"/>
    <w:next w:val="Normal"/>
    <w:link w:val="TitelTegn"/>
    <w:uiPriority w:val="10"/>
    <w:qFormat/>
    <w:rsid w:val="00D5554B"/>
    <w:pPr>
      <w:contextualSpacing/>
    </w:pPr>
    <w:rPr>
      <w:rFonts w:eastAsiaTheme="majorEastAsia" w:cstheme="majorBidi"/>
      <w:caps/>
      <w:spacing w:val="-10"/>
      <w:kern w:val="28"/>
      <w:sz w:val="72"/>
      <w:szCs w:val="56"/>
    </w:rPr>
  </w:style>
  <w:style w:type="character" w:customStyle="1" w:styleId="TitelTegn">
    <w:name w:val="Titel Tegn"/>
    <w:aliases w:val="Rapportnavn Tegn"/>
    <w:basedOn w:val="Standardskrifttypeiafsnit"/>
    <w:link w:val="Titel"/>
    <w:uiPriority w:val="10"/>
    <w:rsid w:val="00D5554B"/>
    <w:rPr>
      <w:rFonts w:eastAsiaTheme="majorEastAsia" w:cstheme="majorBidi"/>
      <w:caps/>
      <w:spacing w:val="-10"/>
      <w:kern w:val="28"/>
      <w:sz w:val="72"/>
      <w:szCs w:val="5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ED253D"/>
    <w:rPr>
      <w:rFonts w:asciiTheme="majorHAnsi" w:eastAsiaTheme="majorEastAsia" w:hAnsiTheme="majorHAnsi" w:cstheme="majorHAnsi"/>
      <w:b/>
      <w:sz w:val="28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561775"/>
    <w:rPr>
      <w:rFonts w:asciiTheme="majorHAnsi" w:eastAsiaTheme="majorEastAsia" w:hAnsiTheme="majorHAnsi" w:cstheme="majorHAnsi"/>
      <w:b/>
      <w:iCs/>
      <w:sz w:val="24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787009"/>
    <w:rPr>
      <w:rFonts w:asciiTheme="majorHAnsi" w:eastAsiaTheme="majorEastAsia" w:hAnsiTheme="majorHAnsi" w:cstheme="majorBidi"/>
      <w:i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3E49D9"/>
    <w:rPr>
      <w:rFonts w:asciiTheme="majorHAnsi" w:eastAsiaTheme="majorEastAsia" w:hAnsiTheme="majorHAnsi" w:cstheme="majorBidi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2D4B0A"/>
    <w:rPr>
      <w:rFonts w:asciiTheme="majorHAnsi" w:eastAsiaTheme="majorEastAsia" w:hAnsiTheme="majorHAnsi" w:cstheme="majorBidi"/>
      <w:i/>
      <w:iCs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2D4B0A"/>
    <w:rPr>
      <w:rFonts w:asciiTheme="majorHAnsi" w:eastAsiaTheme="majorEastAsia" w:hAnsiTheme="majorHAnsi" w:cstheme="majorBidi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rsid w:val="002D4B0A"/>
    <w:rPr>
      <w:rFonts w:asciiTheme="majorHAnsi" w:eastAsiaTheme="majorEastAsia" w:hAnsiTheme="majorHAnsi" w:cstheme="majorBidi"/>
      <w:i/>
      <w:iCs/>
      <w:sz w:val="21"/>
      <w:szCs w:val="21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95685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95685"/>
    <w:rPr>
      <w:rFonts w:eastAsiaTheme="minorEastAsia"/>
      <w:color w:val="5A5A5A" w:themeColor="text1" w:themeTint="A5"/>
    </w:rPr>
  </w:style>
  <w:style w:type="paragraph" w:styleId="Listeafsnit">
    <w:name w:val="List Paragraph"/>
    <w:basedOn w:val="Normal"/>
    <w:uiPriority w:val="34"/>
    <w:qFormat/>
    <w:rsid w:val="00544B2B"/>
    <w:pPr>
      <w:spacing w:after="480"/>
      <w:ind w:left="720"/>
      <w:contextualSpacing/>
    </w:pPr>
  </w:style>
  <w:style w:type="character" w:styleId="Svagfremhvning">
    <w:name w:val="Subtle Emphasis"/>
    <w:basedOn w:val="Standardskrifttypeiafsnit"/>
    <w:uiPriority w:val="19"/>
    <w:qFormat/>
    <w:rsid w:val="00910A72"/>
    <w:rPr>
      <w:i/>
      <w:iCs/>
      <w:color w:val="595959" w:themeColor="text1" w:themeTint="A6"/>
    </w:rPr>
  </w:style>
  <w:style w:type="character" w:styleId="Fremhv">
    <w:name w:val="Emphasis"/>
    <w:basedOn w:val="Standardskrifttypeiafsnit"/>
    <w:uiPriority w:val="20"/>
    <w:qFormat/>
    <w:rsid w:val="00910A72"/>
    <w:rPr>
      <w:i/>
      <w:iCs/>
    </w:rPr>
  </w:style>
  <w:style w:type="character" w:styleId="Kraftigfremhvning">
    <w:name w:val="Intense Emphasis"/>
    <w:basedOn w:val="Standardskrifttypeiafsnit"/>
    <w:uiPriority w:val="21"/>
    <w:qFormat/>
    <w:rsid w:val="00026A2F"/>
    <w:rPr>
      <w:b/>
      <w:i/>
      <w:iCs/>
      <w:color w:val="auto"/>
    </w:rPr>
  </w:style>
  <w:style w:type="paragraph" w:styleId="Citat">
    <w:name w:val="Quote"/>
    <w:basedOn w:val="Normal"/>
    <w:next w:val="Normal"/>
    <w:link w:val="CitatTegn"/>
    <w:uiPriority w:val="29"/>
    <w:qFormat/>
    <w:rsid w:val="00026A2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26A2F"/>
    <w:rPr>
      <w:i/>
      <w:iCs/>
      <w:color w:val="404040" w:themeColor="text1" w:themeTint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26A2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26A2F"/>
    <w:rPr>
      <w:i/>
      <w:iCs/>
    </w:rPr>
  </w:style>
  <w:style w:type="character" w:styleId="Svaghenvisning">
    <w:name w:val="Subtle Reference"/>
    <w:basedOn w:val="Standardskrifttypeiafsnit"/>
    <w:uiPriority w:val="31"/>
    <w:qFormat/>
    <w:rsid w:val="00EA4F7F"/>
    <w:rPr>
      <w:smallCaps/>
      <w:color w:val="5A5A5A" w:themeColor="text1" w:themeTint="A5"/>
    </w:rPr>
  </w:style>
  <w:style w:type="character" w:styleId="Kraftighenvisning">
    <w:name w:val="Intense Reference"/>
    <w:basedOn w:val="Standardskrifttypeiafsnit"/>
    <w:uiPriority w:val="32"/>
    <w:qFormat/>
    <w:rsid w:val="00EA4F7F"/>
    <w:rPr>
      <w:b/>
      <w:bCs/>
      <w:smallCaps/>
      <w:color w:val="auto"/>
      <w:spacing w:val="5"/>
    </w:rPr>
  </w:style>
  <w:style w:type="table" w:styleId="Tabel-Gitter">
    <w:name w:val="Table Grid"/>
    <w:basedOn w:val="Tabel-Normal"/>
    <w:uiPriority w:val="39"/>
    <w:rsid w:val="00E95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Brevtekst">
    <w:name w:val="Tab Brevtekst"/>
    <w:basedOn w:val="Normal"/>
    <w:uiPriority w:val="9"/>
    <w:qFormat/>
    <w:rsid w:val="006F5B38"/>
    <w:pPr>
      <w:tabs>
        <w:tab w:val="left" w:pos="2835"/>
      </w:tabs>
      <w:spacing w:after="240"/>
    </w:pPr>
    <w:rPr>
      <w:rFonts w:eastAsiaTheme="minorEastAsia"/>
      <w:bCs/>
      <w:szCs w:val="20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701696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unhideWhenUsed/>
    <w:rsid w:val="00914DB1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unhideWhenUsed/>
    <w:rsid w:val="00914DB1"/>
    <w:pPr>
      <w:spacing w:after="100"/>
      <w:ind w:left="440"/>
    </w:pPr>
  </w:style>
  <w:style w:type="character" w:styleId="Hyperlink">
    <w:name w:val="Hyperlink"/>
    <w:basedOn w:val="Standardskrifttypeiafsnit"/>
    <w:uiPriority w:val="99"/>
    <w:unhideWhenUsed/>
    <w:rsid w:val="00914DB1"/>
    <w:rPr>
      <w:color w:val="0563C1" w:themeColor="hyperlink"/>
      <w:u w:val="single"/>
    </w:rPr>
  </w:style>
  <w:style w:type="paragraph" w:customStyle="1" w:styleId="BrevnotatKORTO1">
    <w:name w:val="Brev/notat KORT (O1)"/>
    <w:basedOn w:val="Normal"/>
    <w:next w:val="Normal"/>
    <w:link w:val="BrevnotatKORTO1Tegn"/>
    <w:uiPriority w:val="4"/>
    <w:qFormat/>
    <w:rsid w:val="00DF25A6"/>
    <w:pPr>
      <w:spacing w:before="480" w:after="280" w:line="280" w:lineRule="exact"/>
      <w:outlineLvl w:val="0"/>
    </w:pPr>
    <w:rPr>
      <w:rFonts w:eastAsia="Calibri" w:cs="Times New Roman"/>
      <w:b/>
      <w:caps/>
      <w:sz w:val="26"/>
      <w:szCs w:val="20"/>
    </w:rPr>
  </w:style>
  <w:style w:type="character" w:customStyle="1" w:styleId="BrevnotatKORTO1Tegn">
    <w:name w:val="Brev/notat KORT (O1) Tegn"/>
    <w:basedOn w:val="Overskrift1Tegn"/>
    <w:link w:val="BrevnotatKORTO1"/>
    <w:uiPriority w:val="4"/>
    <w:rsid w:val="00AC0E67"/>
    <w:rPr>
      <w:rFonts w:asciiTheme="majorHAnsi" w:eastAsia="Calibri" w:hAnsiTheme="majorHAnsi" w:cs="Times New Roman"/>
      <w:b/>
      <w:caps/>
      <w:sz w:val="26"/>
      <w:szCs w:val="20"/>
    </w:rPr>
  </w:style>
  <w:style w:type="paragraph" w:customStyle="1" w:styleId="AdressatO1">
    <w:name w:val="Adressat (O1)"/>
    <w:basedOn w:val="Ingenafstand"/>
    <w:next w:val="Normal"/>
    <w:uiPriority w:val="1"/>
    <w:qFormat/>
    <w:rsid w:val="00231828"/>
    <w:pPr>
      <w:spacing w:line="280" w:lineRule="exact"/>
      <w:outlineLvl w:val="0"/>
    </w:pPr>
    <w:rPr>
      <w:rFonts w:eastAsia="Calibri" w:cs="Times New Roman"/>
    </w:rPr>
  </w:style>
  <w:style w:type="paragraph" w:customStyle="1" w:styleId="BrevO2">
    <w:name w:val="Brev (O2)"/>
    <w:basedOn w:val="Normal"/>
    <w:next w:val="Normal"/>
    <w:link w:val="BrevO2Tegn"/>
    <w:uiPriority w:val="4"/>
    <w:unhideWhenUsed/>
    <w:qFormat/>
    <w:rsid w:val="00802086"/>
    <w:pPr>
      <w:spacing w:line="280" w:lineRule="exact"/>
      <w:outlineLvl w:val="1"/>
    </w:pPr>
    <w:rPr>
      <w:b/>
      <w:sz w:val="24"/>
    </w:rPr>
  </w:style>
  <w:style w:type="paragraph" w:styleId="Ingenafstand">
    <w:name w:val="No Spacing"/>
    <w:uiPriority w:val="4"/>
    <w:rsid w:val="00231828"/>
    <w:pPr>
      <w:spacing w:after="0" w:line="240" w:lineRule="auto"/>
    </w:pPr>
  </w:style>
  <w:style w:type="character" w:customStyle="1" w:styleId="BrevO2Tegn">
    <w:name w:val="Brev (O2) Tegn"/>
    <w:basedOn w:val="Standardskrifttypeiafsnit"/>
    <w:link w:val="BrevO2"/>
    <w:uiPriority w:val="4"/>
    <w:rsid w:val="00802086"/>
    <w:rPr>
      <w:b/>
      <w:sz w:val="24"/>
    </w:rPr>
  </w:style>
  <w:style w:type="paragraph" w:customStyle="1" w:styleId="BrevO3">
    <w:name w:val="Brev (O3)"/>
    <w:basedOn w:val="Normal"/>
    <w:next w:val="Normal"/>
    <w:link w:val="BrevO3Tegn"/>
    <w:uiPriority w:val="4"/>
    <w:unhideWhenUsed/>
    <w:qFormat/>
    <w:rsid w:val="00DF25A6"/>
    <w:pPr>
      <w:outlineLvl w:val="2"/>
    </w:pPr>
    <w:rPr>
      <w:b/>
      <w:bCs/>
      <w:szCs w:val="20"/>
    </w:rPr>
  </w:style>
  <w:style w:type="character" w:customStyle="1" w:styleId="BrevO3Tegn">
    <w:name w:val="Brev (O3) Tegn"/>
    <w:basedOn w:val="Standardskrifttypeiafsnit"/>
    <w:link w:val="BrevO3"/>
    <w:uiPriority w:val="4"/>
    <w:rsid w:val="00884868"/>
    <w:rPr>
      <w:rFonts w:cs="Arial"/>
      <w:b/>
      <w:bCs/>
      <w:szCs w:val="20"/>
    </w:rPr>
  </w:style>
  <w:style w:type="paragraph" w:customStyle="1" w:styleId="BrevO4">
    <w:name w:val="Brev (O4)"/>
    <w:basedOn w:val="Normal"/>
    <w:next w:val="Normal"/>
    <w:link w:val="BrevO4Tegn"/>
    <w:uiPriority w:val="4"/>
    <w:unhideWhenUsed/>
    <w:qFormat/>
    <w:rsid w:val="005C4D25"/>
    <w:pPr>
      <w:outlineLvl w:val="3"/>
    </w:pPr>
    <w:rPr>
      <w:bCs/>
      <w:i/>
      <w:szCs w:val="20"/>
    </w:rPr>
  </w:style>
  <w:style w:type="character" w:customStyle="1" w:styleId="BrevO4Tegn">
    <w:name w:val="Brev (O4) Tegn"/>
    <w:basedOn w:val="Standardskrifttypeiafsnit"/>
    <w:link w:val="BrevO4"/>
    <w:uiPriority w:val="4"/>
    <w:rsid w:val="00884868"/>
    <w:rPr>
      <w:rFonts w:cs="Arial"/>
      <w:bCs/>
      <w:i/>
      <w:szCs w:val="20"/>
    </w:rPr>
  </w:style>
  <w:style w:type="paragraph" w:customStyle="1" w:styleId="Dato-JournalO1">
    <w:name w:val="Dato-Journal (O1)"/>
    <w:basedOn w:val="Normal"/>
    <w:link w:val="Dato-JournalO1Tegn"/>
    <w:uiPriority w:val="2"/>
    <w:qFormat/>
    <w:rsid w:val="002E78DD"/>
    <w:pPr>
      <w:spacing w:line="280" w:lineRule="exact"/>
      <w:outlineLvl w:val="0"/>
    </w:pPr>
    <w:rPr>
      <w:szCs w:val="20"/>
    </w:rPr>
  </w:style>
  <w:style w:type="character" w:customStyle="1" w:styleId="Dato-JournalO1Tegn">
    <w:name w:val="Dato-Journal (O1) Tegn"/>
    <w:basedOn w:val="Standardskrifttypeiafsnit"/>
    <w:link w:val="Dato-JournalO1"/>
    <w:uiPriority w:val="2"/>
    <w:rsid w:val="00AC0E67"/>
    <w:rPr>
      <w:szCs w:val="20"/>
    </w:rPr>
  </w:style>
  <w:style w:type="paragraph" w:customStyle="1" w:styleId="BrevO1">
    <w:name w:val="Brev (O1)"/>
    <w:basedOn w:val="Normal"/>
    <w:uiPriority w:val="4"/>
    <w:qFormat/>
    <w:rsid w:val="00701696"/>
    <w:pPr>
      <w:widowControl w:val="0"/>
      <w:autoSpaceDE w:val="0"/>
      <w:autoSpaceDN w:val="0"/>
      <w:adjustRightInd w:val="0"/>
      <w:spacing w:before="480" w:after="280" w:line="280" w:lineRule="exact"/>
      <w:outlineLvl w:val="0"/>
    </w:pPr>
    <w:rPr>
      <w:rFonts w:cs="Calibri"/>
      <w:b/>
      <w:bCs/>
      <w:sz w:val="26"/>
      <w:szCs w:val="24"/>
    </w:rPr>
  </w:style>
  <w:style w:type="paragraph" w:customStyle="1" w:styleId="AfsenderO1">
    <w:name w:val="Afsender (O1)"/>
    <w:basedOn w:val="Normal"/>
    <w:next w:val="Normal"/>
    <w:link w:val="AfsenderO1Tegn"/>
    <w:rsid w:val="004E20F1"/>
    <w:pPr>
      <w:spacing w:line="200" w:lineRule="exact"/>
      <w:outlineLvl w:val="0"/>
    </w:pPr>
    <w:rPr>
      <w:rFonts w:asciiTheme="minorHAnsi" w:eastAsiaTheme="minorEastAsia" w:hAnsiTheme="minorHAnsi" w:cs="Calibri"/>
      <w:color w:val="595959"/>
      <w:sz w:val="16"/>
      <w:szCs w:val="20"/>
    </w:rPr>
  </w:style>
  <w:style w:type="character" w:customStyle="1" w:styleId="AfsenderO1Tegn">
    <w:name w:val="Afsender (O1) Tegn"/>
    <w:basedOn w:val="Standardskrifttypeiafsnit"/>
    <w:link w:val="AfsenderO1"/>
    <w:locked/>
    <w:rsid w:val="004E20F1"/>
    <w:rPr>
      <w:rFonts w:asciiTheme="minorHAnsi" w:eastAsiaTheme="minorEastAsia" w:hAnsiTheme="minorHAnsi" w:cs="Calibri"/>
      <w:color w:val="595959"/>
      <w:sz w:val="16"/>
      <w:szCs w:val="20"/>
      <w:lang w:eastAsia="da-DK"/>
    </w:rPr>
  </w:style>
  <w:style w:type="paragraph" w:customStyle="1" w:styleId="Default">
    <w:name w:val="Default"/>
    <w:rsid w:val="006F51DD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da-DK"/>
    </w:rPr>
  </w:style>
  <w:style w:type="paragraph" w:customStyle="1" w:styleId="O2-indhold">
    <w:name w:val="O2 - indhold"/>
    <w:basedOn w:val="Overskrift2"/>
    <w:link w:val="O2-indholdTegn"/>
    <w:qFormat/>
    <w:rsid w:val="006F51DD"/>
    <w:pPr>
      <w:keepNext/>
      <w:spacing w:before="240" w:after="120"/>
    </w:pPr>
    <w:rPr>
      <w:rFonts w:ascii="Arial" w:hAnsi="Arial"/>
      <w:bCs/>
      <w:iCs/>
      <w:szCs w:val="28"/>
    </w:rPr>
  </w:style>
  <w:style w:type="character" w:customStyle="1" w:styleId="O2-indholdTegn">
    <w:name w:val="O2 - indhold Tegn"/>
    <w:basedOn w:val="Overskrift2Tegn"/>
    <w:link w:val="O2-indhold"/>
    <w:rsid w:val="006F51DD"/>
    <w:rPr>
      <w:rFonts w:ascii="Arial" w:eastAsia="Times New Roman" w:hAnsi="Arial" w:cs="Arial"/>
      <w:b/>
      <w:bCs/>
      <w:iCs/>
      <w:color w:val="000000"/>
      <w:sz w:val="36"/>
      <w:szCs w:val="28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CC3AD0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CC3AD0"/>
    <w:rPr>
      <w:rFonts w:ascii="Arial" w:eastAsia="Times New Roman" w:hAnsi="Arial" w:cs="Arial"/>
      <w:color w:val="000000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CC3AD0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CC3AD0"/>
    <w:rPr>
      <w:rFonts w:ascii="Arial" w:eastAsia="Times New Roman" w:hAnsi="Arial" w:cs="Arial"/>
      <w:color w:val="00000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91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oen.randers.dk/lokale-broer/socialomraadet/information-til-alle/overordnede-politikker-og-retningslinjer/uth/" TargetMode="External"/><Relationship Id="rId13" Type="http://schemas.openxmlformats.org/officeDocument/2006/relationships/hyperlink" Target="https://stps.dk/da/laering/utilsigtede-haendelser/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retsinformation.dk/eli/lta/2011/1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tps.dk/da/laering/utilsigtede-haendelser/samlerapportering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secure.capevo.net/xform/frontend/irs.aspx?alias=haendelser%20med%20medicinsk%20udstyr&amp;groupId=58&amp;doctype=1&amp;formid=16751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dpsd.csc-scandihealth.com/Form/PublicSubmission.aspx?form=DPSD_Public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01A9C-70B2-47C7-BE81-ADA2CABB9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649</Words>
  <Characters>4373</Characters>
  <Application>Microsoft Office Word</Application>
  <DocSecurity>0</DocSecurity>
  <Lines>149</Lines>
  <Paragraphs>63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Randers Kommune</Company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Instruks – Utilsigtede hændelser (UTH)</dc:title>
  <dc:subject/>
  <dc:creator>Ghita Marianne Steenholt</dc:creator>
  <cp:keywords/>
  <dc:description/>
  <cp:lastModifiedBy>Jesper Kjersgaard Nielsen</cp:lastModifiedBy>
  <cp:revision>2</cp:revision>
  <dcterms:created xsi:type="dcterms:W3CDTF">2023-05-08T10:44:00Z</dcterms:created>
  <dcterms:modified xsi:type="dcterms:W3CDTF">2023-05-08T10:44:00Z</dcterms:modified>
</cp:coreProperties>
</file>