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3DEA" w14:textId="63A23727" w:rsidR="008733E2" w:rsidRDefault="008733E2" w:rsidP="008733E2">
      <w:pPr>
        <w:pStyle w:val="Overskrift1"/>
        <w:jc w:val="center"/>
        <w:rPr>
          <w:sz w:val="32"/>
        </w:rPr>
      </w:pPr>
      <w:bookmarkStart w:id="0" w:name="_Toc133839387"/>
      <w:bookmarkStart w:id="1" w:name="_Toc133331507"/>
      <w:r w:rsidRPr="008733E2">
        <w:rPr>
          <w:sz w:val="32"/>
        </w:rPr>
        <w:t>Instruks – Insulin</w:t>
      </w:r>
      <w:bookmarkEnd w:id="0"/>
    </w:p>
    <w:p w14:paraId="612AC223" w14:textId="77777777" w:rsidR="008733E2" w:rsidRPr="008733E2" w:rsidRDefault="008733E2" w:rsidP="008733E2"/>
    <w:tbl>
      <w:tblPr>
        <w:tblW w:w="10562" w:type="dxa"/>
        <w:tblInd w:w="-106" w:type="dxa"/>
        <w:tblLayout w:type="fixed"/>
        <w:tblCellMar>
          <w:top w:w="3" w:type="dxa"/>
          <w:left w:w="0" w:type="dxa"/>
          <w:right w:w="86" w:type="dxa"/>
        </w:tblCellMar>
        <w:tblLook w:val="04A0" w:firstRow="1" w:lastRow="0" w:firstColumn="1" w:lastColumn="0" w:noHBand="0" w:noVBand="1"/>
        <w:tblDescription w:val="Instruks – Insulin"/>
      </w:tblPr>
      <w:tblGrid>
        <w:gridCol w:w="2228"/>
        <w:gridCol w:w="8334"/>
      </w:tblGrid>
      <w:tr w:rsidR="008733E2" w:rsidRPr="00F52DB2" w14:paraId="6EA2AEA0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A5F4C1" w14:textId="77777777" w:rsidR="008733E2" w:rsidRPr="008733E2" w:rsidRDefault="008733E2" w:rsidP="00B45E1D">
            <w:pPr>
              <w:jc w:val="left"/>
              <w:rPr>
                <w:b/>
                <w:bCs/>
                <w:sz w:val="28"/>
              </w:rPr>
            </w:pPr>
            <w:r w:rsidRPr="008733E2">
              <w:rPr>
                <w:b/>
                <w:bCs/>
              </w:rPr>
              <w:t>Personalegrupper omfattet af instruksen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532C" w14:textId="7478242C" w:rsidR="008733E2" w:rsidRPr="00F52DB2" w:rsidRDefault="008E16E0" w:rsidP="00B45E1D">
            <w:pPr>
              <w:jc w:val="left"/>
            </w:pPr>
            <w:r>
              <w:t>Personale</w:t>
            </w:r>
            <w:r w:rsidRPr="007F2665">
              <w:t xml:space="preserve"> </w:t>
            </w:r>
            <w:r w:rsidRPr="003D220A">
              <w:t xml:space="preserve">ansat på socialområdet i Randers kommune der må håndtere insulin jf. </w:t>
            </w:r>
            <w:r>
              <w:t xml:space="preserve">socialområdets faglige </w:t>
            </w:r>
            <w:r w:rsidRPr="003D220A">
              <w:t xml:space="preserve">kompetenceprofil </w:t>
            </w:r>
            <w:r>
              <w:t xml:space="preserve">og indsatskatalog </w:t>
            </w:r>
            <w:r w:rsidRPr="003D220A">
              <w:t>for sygepleje</w:t>
            </w:r>
            <w:r>
              <w:t>.</w:t>
            </w:r>
          </w:p>
        </w:tc>
      </w:tr>
      <w:tr w:rsidR="008733E2" w:rsidRPr="00F52DB2" w14:paraId="206A1AAD" w14:textId="77777777" w:rsidTr="00380E17">
        <w:trPr>
          <w:trHeight w:val="109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1222B0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 xml:space="preserve">Formål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2CA10" w14:textId="78C0810F" w:rsidR="008E16E0" w:rsidRPr="00695FB6" w:rsidRDefault="008E16E0" w:rsidP="008E16E0">
            <w:pPr>
              <w:pStyle w:val="Listeafsnit"/>
              <w:numPr>
                <w:ilvl w:val="0"/>
                <w:numId w:val="8"/>
              </w:numPr>
              <w:jc w:val="left"/>
            </w:pPr>
            <w:r>
              <w:t>A</w:t>
            </w:r>
            <w:r w:rsidRPr="00756A7E">
              <w:t>t borgers behandling med injektion</w:t>
            </w:r>
            <w:r w:rsidR="00022B71">
              <w:t xml:space="preserve"> af</w:t>
            </w:r>
            <w:r w:rsidRPr="00756A7E">
              <w:t xml:space="preserve"> insulin håndteres sikkert i samarbejde med borgeren</w:t>
            </w:r>
          </w:p>
          <w:p w14:paraId="3CC9AFCD" w14:textId="1DB8FBBC" w:rsidR="008E16E0" w:rsidRPr="003D220A" w:rsidRDefault="008E16E0" w:rsidP="00CB6F8C">
            <w:pPr>
              <w:pStyle w:val="Listeafsnit"/>
              <w:numPr>
                <w:ilvl w:val="0"/>
                <w:numId w:val="8"/>
              </w:numPr>
              <w:spacing w:after="120"/>
              <w:jc w:val="left"/>
            </w:pPr>
            <w:r>
              <w:t>At medarbejde</w:t>
            </w:r>
            <w:r w:rsidR="00022B71">
              <w:t>rne</w:t>
            </w:r>
            <w:r>
              <w:t xml:space="preserve"> på Socialområdet ved, hvordan de skal </w:t>
            </w:r>
            <w:r w:rsidR="00022B71">
              <w:t>agere</w:t>
            </w:r>
            <w:r>
              <w:t xml:space="preserve"> ved for lavt eller højt blodsukker</w:t>
            </w:r>
          </w:p>
        </w:tc>
      </w:tr>
      <w:tr w:rsidR="008733E2" w:rsidRPr="00F52DB2" w14:paraId="70C87E9C" w14:textId="77777777" w:rsidTr="00380E17">
        <w:trPr>
          <w:trHeight w:val="97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8E121A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Ansvar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331B" w14:textId="77777777" w:rsidR="008E16E0" w:rsidRDefault="008E16E0" w:rsidP="008E16E0">
            <w:pPr>
              <w:pStyle w:val="Listeafsnit"/>
              <w:numPr>
                <w:ilvl w:val="0"/>
                <w:numId w:val="28"/>
              </w:numPr>
            </w:pPr>
            <w:r w:rsidRPr="00357833">
              <w:t>Det er ledelsens ansvar at sikre en skriftlig instruks og korrekt opdatering af denne</w:t>
            </w:r>
          </w:p>
          <w:p w14:paraId="1201F95F" w14:textId="41F55838" w:rsidR="008733E2" w:rsidRPr="00F52DB2" w:rsidRDefault="008E16E0" w:rsidP="00CB6F8C">
            <w:pPr>
              <w:pStyle w:val="Listeafsnit"/>
              <w:numPr>
                <w:ilvl w:val="0"/>
                <w:numId w:val="28"/>
              </w:numPr>
              <w:spacing w:after="120"/>
            </w:pPr>
            <w:r w:rsidRPr="00357833">
              <w:t>Det er personalets</w:t>
            </w:r>
            <w:r w:rsidRPr="00756A7E">
              <w:t xml:space="preserve"> ansvar at følge den skriftlige instruks</w:t>
            </w:r>
          </w:p>
        </w:tc>
      </w:tr>
      <w:tr w:rsidR="008733E2" w:rsidRPr="00F52DB2" w14:paraId="0AA460FA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AE235A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Begrebsafklaring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171F" w14:textId="7EF2C25B" w:rsidR="008733E2" w:rsidRPr="00756A7E" w:rsidRDefault="008733E2" w:rsidP="00CB6F8C">
            <w:pPr>
              <w:pStyle w:val="Listeafsnit"/>
              <w:numPr>
                <w:ilvl w:val="0"/>
                <w:numId w:val="8"/>
              </w:numPr>
              <w:spacing w:after="0"/>
              <w:jc w:val="left"/>
            </w:pPr>
            <w:r w:rsidRPr="00756A7E">
              <w:t>Hypoglykæmi: For lavt blodsukker</w:t>
            </w:r>
          </w:p>
          <w:p w14:paraId="05904499" w14:textId="5C9E0F5F" w:rsidR="008733E2" w:rsidRPr="00756A7E" w:rsidRDefault="008733E2" w:rsidP="00CB6F8C">
            <w:pPr>
              <w:pStyle w:val="Listeafsnit"/>
              <w:numPr>
                <w:ilvl w:val="0"/>
                <w:numId w:val="8"/>
              </w:numPr>
              <w:spacing w:after="0"/>
              <w:jc w:val="left"/>
            </w:pPr>
            <w:proofErr w:type="spellStart"/>
            <w:r w:rsidRPr="00756A7E">
              <w:t>Hyperglykæmi</w:t>
            </w:r>
            <w:proofErr w:type="spellEnd"/>
            <w:r w:rsidRPr="00756A7E">
              <w:t>: For højt blodsukker</w:t>
            </w:r>
          </w:p>
        </w:tc>
      </w:tr>
      <w:tr w:rsidR="008E16E0" w:rsidRPr="00F52DB2" w14:paraId="5D52AEC7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CB6D1AD" w14:textId="0D25800C" w:rsidR="008E16E0" w:rsidRPr="00692A4D" w:rsidRDefault="008E16E0" w:rsidP="008E16E0">
            <w:pPr>
              <w:jc w:val="left"/>
              <w:rPr>
                <w:b/>
                <w:bCs/>
              </w:rPr>
            </w:pPr>
            <w:r w:rsidRPr="00692A4D">
              <w:rPr>
                <w:b/>
                <w:bCs/>
              </w:rPr>
              <w:t>Baggrund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CEF4" w14:textId="36C09291" w:rsidR="008E16E0" w:rsidRDefault="008E16E0" w:rsidP="00CB6F8C">
            <w:pPr>
              <w:spacing w:after="120"/>
            </w:pPr>
            <w:r>
              <w:t>Instruksen er et supplement til instruks for medicinhåndtering.</w:t>
            </w:r>
          </w:p>
          <w:p w14:paraId="0020F83B" w14:textId="14C3A377" w:rsidR="004C520D" w:rsidRDefault="008E16E0" w:rsidP="00CB6F8C">
            <w:pPr>
              <w:spacing w:after="120"/>
            </w:pPr>
            <w:r>
              <w:t>Insulin er et risikosituationslagemiddel, som kr</w:t>
            </w:r>
            <w:r w:rsidR="00022B71">
              <w:t>æ</w:t>
            </w:r>
            <w:r>
              <w:t>ver særlig opmærksomhed, idet det kan vare forbundet med fejl (manglende blodsukker kontrol inden indgift, forveksling mellem korttids-/langtidsvirkende insulin, mangelfuld overlevering af ændringer mm.)</w:t>
            </w:r>
          </w:p>
          <w:p w14:paraId="33C3767C" w14:textId="780C04CC" w:rsidR="004C520D" w:rsidRDefault="004C520D" w:rsidP="00224797">
            <w:r>
              <w:t>Se video fra styrelsen for patientsikkerhed</w:t>
            </w:r>
          </w:p>
          <w:p w14:paraId="29F1745D" w14:textId="7D5B2610" w:rsidR="004C520D" w:rsidRDefault="00DF7BE0" w:rsidP="00CB6F8C">
            <w:pPr>
              <w:spacing w:after="240"/>
            </w:pPr>
            <w:hyperlink r:id="rId8" w:history="1">
              <w:r w:rsidR="004C520D" w:rsidRPr="00442DAA">
                <w:rPr>
                  <w:rStyle w:val="Hyperlink"/>
                </w:rPr>
                <w:t>https://stps.dk/da/laering/risikoomraader/risikosituationslaegemidler/medicin-mod-diabetes-antidiabetika/</w:t>
              </w:r>
            </w:hyperlink>
          </w:p>
          <w:p w14:paraId="5F6F7609" w14:textId="3062B717" w:rsidR="008E16E0" w:rsidRPr="00CB6F8C" w:rsidRDefault="008E16E0" w:rsidP="00CB6F8C">
            <w:pPr>
              <w:spacing w:after="120"/>
            </w:pPr>
            <w:r>
              <w:t>Over-</w:t>
            </w:r>
            <w:r w:rsidR="00022B71">
              <w:t xml:space="preserve"> </w:t>
            </w:r>
            <w:r>
              <w:t>eller underbehandling med insulin kan resultere i et lavt eller højt blodsukker.</w:t>
            </w:r>
          </w:p>
          <w:p w14:paraId="52102DBC" w14:textId="77777777" w:rsidR="008E16E0" w:rsidRPr="00EB0265" w:rsidRDefault="008E16E0" w:rsidP="00224797">
            <w:pPr>
              <w:rPr>
                <w:u w:val="single"/>
              </w:rPr>
            </w:pPr>
            <w:r w:rsidRPr="00EB0265">
              <w:rPr>
                <w:u w:val="single"/>
              </w:rPr>
              <w:t>Lavt blodsukker kan give symptomer som:</w:t>
            </w:r>
          </w:p>
          <w:p w14:paraId="51B75672" w14:textId="77777777" w:rsidR="008E16E0" w:rsidRDefault="008E16E0" w:rsidP="008E16E0">
            <w:pPr>
              <w:pStyle w:val="Listeafsnit"/>
              <w:numPr>
                <w:ilvl w:val="0"/>
                <w:numId w:val="29"/>
              </w:numPr>
              <w:jc w:val="left"/>
            </w:pPr>
            <w:r>
              <w:t xml:space="preserve">Hovedpine og svimmelhed </w:t>
            </w:r>
          </w:p>
          <w:p w14:paraId="017C2265" w14:textId="77777777" w:rsidR="008E16E0" w:rsidRDefault="008E16E0" w:rsidP="008E16E0">
            <w:pPr>
              <w:pStyle w:val="Listeafsnit"/>
              <w:numPr>
                <w:ilvl w:val="0"/>
                <w:numId w:val="29"/>
              </w:numPr>
              <w:jc w:val="left"/>
            </w:pPr>
            <w:r>
              <w:t>Sult og urolig nattesøvn</w:t>
            </w:r>
          </w:p>
          <w:p w14:paraId="12401B0A" w14:textId="77777777" w:rsidR="008E16E0" w:rsidRDefault="008E16E0" w:rsidP="008E16E0">
            <w:pPr>
              <w:pStyle w:val="Listeafsnit"/>
              <w:numPr>
                <w:ilvl w:val="0"/>
                <w:numId w:val="29"/>
              </w:numPr>
              <w:jc w:val="left"/>
            </w:pPr>
            <w:r>
              <w:t>Svedtendens (mere end normalt) og hjertebanken</w:t>
            </w:r>
          </w:p>
          <w:p w14:paraId="405A17C4" w14:textId="77777777" w:rsidR="008E16E0" w:rsidRDefault="008E16E0" w:rsidP="008E16E0">
            <w:pPr>
              <w:pStyle w:val="Listeafsnit"/>
              <w:numPr>
                <w:ilvl w:val="0"/>
                <w:numId w:val="29"/>
              </w:numPr>
              <w:jc w:val="left"/>
            </w:pPr>
            <w:r>
              <w:t xml:space="preserve">Rysten og indre uro </w:t>
            </w:r>
          </w:p>
          <w:p w14:paraId="5B4E83F8" w14:textId="77777777" w:rsidR="008E16E0" w:rsidRDefault="008E16E0" w:rsidP="008E16E0">
            <w:pPr>
              <w:pStyle w:val="Listeafsnit"/>
              <w:numPr>
                <w:ilvl w:val="0"/>
                <w:numId w:val="29"/>
              </w:numPr>
              <w:jc w:val="left"/>
            </w:pPr>
            <w:r>
              <w:t>Træthed, koncentrationsbesvær og forvirring</w:t>
            </w:r>
          </w:p>
          <w:p w14:paraId="6E29A771" w14:textId="77777777" w:rsidR="008E16E0" w:rsidRDefault="008E16E0" w:rsidP="008E16E0">
            <w:pPr>
              <w:pStyle w:val="Listeafsnit"/>
              <w:numPr>
                <w:ilvl w:val="0"/>
                <w:numId w:val="29"/>
              </w:numPr>
              <w:jc w:val="left"/>
            </w:pPr>
            <w:r>
              <w:t>Synsforstyrrelser</w:t>
            </w:r>
          </w:p>
          <w:p w14:paraId="4F099EE6" w14:textId="77777777" w:rsidR="008E16E0" w:rsidRDefault="008E16E0" w:rsidP="008E16E0">
            <w:pPr>
              <w:pStyle w:val="Listeafsnit"/>
              <w:numPr>
                <w:ilvl w:val="0"/>
                <w:numId w:val="29"/>
              </w:numPr>
              <w:jc w:val="left"/>
            </w:pPr>
            <w:r>
              <w:t>Bleghed og kuldefornemmelse</w:t>
            </w:r>
          </w:p>
          <w:p w14:paraId="3F21B958" w14:textId="77777777" w:rsidR="008E16E0" w:rsidRDefault="008E16E0" w:rsidP="00CB6F8C">
            <w:pPr>
              <w:pStyle w:val="Listeafsnit"/>
              <w:numPr>
                <w:ilvl w:val="0"/>
                <w:numId w:val="29"/>
              </w:numPr>
              <w:spacing w:after="240"/>
              <w:jc w:val="left"/>
            </w:pPr>
            <w:r>
              <w:t>Følelsesudbrud, fx irritation, vrede eller eufori</w:t>
            </w:r>
          </w:p>
          <w:p w14:paraId="4C34DD55" w14:textId="70C75AD1" w:rsidR="008E16E0" w:rsidRDefault="008E16E0" w:rsidP="00CB6F8C">
            <w:pPr>
              <w:spacing w:after="240"/>
            </w:pPr>
            <w:r w:rsidRPr="00224797">
              <w:rPr>
                <w:u w:val="single"/>
              </w:rPr>
              <w:t xml:space="preserve">Et meget lavt blodsukker (ofte under 2 mmol/l) er kritisk for borger og kræver akut handling </w:t>
            </w:r>
            <w:r w:rsidRPr="00CB6F8C">
              <w:rPr>
                <w:b/>
                <w:bCs/>
                <w:u w:val="single"/>
              </w:rPr>
              <w:t>ring 112</w:t>
            </w:r>
          </w:p>
          <w:p w14:paraId="231BDDD9" w14:textId="77777777" w:rsidR="008E16E0" w:rsidRPr="00CB6F8C" w:rsidRDefault="008E16E0" w:rsidP="00224797">
            <w:pPr>
              <w:rPr>
                <w:u w:val="single"/>
              </w:rPr>
            </w:pPr>
            <w:r w:rsidRPr="00CB6F8C">
              <w:rPr>
                <w:u w:val="single"/>
              </w:rPr>
              <w:t>Symptomerne kan være:</w:t>
            </w:r>
          </w:p>
          <w:p w14:paraId="7F1A8ABF" w14:textId="77777777" w:rsidR="008E16E0" w:rsidRDefault="008E16E0" w:rsidP="008E16E0">
            <w:pPr>
              <w:numPr>
                <w:ilvl w:val="0"/>
                <w:numId w:val="30"/>
              </w:numPr>
              <w:contextualSpacing/>
              <w:jc w:val="left"/>
            </w:pPr>
            <w:r>
              <w:t>Kramper</w:t>
            </w:r>
          </w:p>
          <w:p w14:paraId="7EB4851F" w14:textId="0B83BF5F" w:rsidR="008E16E0" w:rsidRDefault="008E16E0" w:rsidP="00CB6F8C">
            <w:pPr>
              <w:numPr>
                <w:ilvl w:val="0"/>
                <w:numId w:val="30"/>
              </w:numPr>
              <w:contextualSpacing/>
              <w:jc w:val="left"/>
            </w:pPr>
            <w:r>
              <w:t>Bevidstløshed (insulinchok)</w:t>
            </w:r>
          </w:p>
          <w:p w14:paraId="58516006" w14:textId="77777777" w:rsidR="00CB6F8C" w:rsidRDefault="00CB6F8C" w:rsidP="00CB6F8C">
            <w:pPr>
              <w:ind w:left="720"/>
              <w:contextualSpacing/>
              <w:jc w:val="left"/>
            </w:pPr>
          </w:p>
          <w:p w14:paraId="0977DB71" w14:textId="44DDAF14" w:rsidR="00224797" w:rsidRDefault="008E16E0" w:rsidP="00CB6F8C">
            <w:pPr>
              <w:spacing w:after="480"/>
            </w:pPr>
            <w:r>
              <w:t xml:space="preserve">Ved blodsukker under 4 mmol/| (under 7 mmol/I til nat) er der behov for indgift af sukkerholdig væske, druesukker eller lign og ekstra blodsukkerkontrol. Kontakt til læge afhænger af den individuelle plan, som fremgår af </w:t>
            </w:r>
            <w:proofErr w:type="spellStart"/>
            <w:r w:rsidR="00874097">
              <w:t>S</w:t>
            </w:r>
            <w:r>
              <w:t>ensum</w:t>
            </w:r>
            <w:proofErr w:type="spellEnd"/>
            <w:r>
              <w:t xml:space="preserve"> bosted. Ved tvivl om plan kontaktes lægen altid.</w:t>
            </w:r>
          </w:p>
          <w:p w14:paraId="2A1A507F" w14:textId="0792777F" w:rsidR="008E16E0" w:rsidRDefault="00022B71" w:rsidP="00CB6F8C">
            <w:pPr>
              <w:spacing w:after="120"/>
            </w:pPr>
            <w:r w:rsidRPr="00CB6F8C">
              <w:rPr>
                <w:u w:val="single"/>
              </w:rPr>
              <w:t>Højt</w:t>
            </w:r>
            <w:r w:rsidR="008E16E0" w:rsidRPr="00CB6F8C">
              <w:rPr>
                <w:u w:val="single"/>
              </w:rPr>
              <w:t xml:space="preserve"> blodsukker kan give symptomer som:</w:t>
            </w:r>
          </w:p>
          <w:p w14:paraId="4E8ED893" w14:textId="77777777" w:rsidR="008E16E0" w:rsidRDefault="008E16E0" w:rsidP="008E16E0">
            <w:pPr>
              <w:pStyle w:val="Listeafsnit"/>
              <w:numPr>
                <w:ilvl w:val="0"/>
                <w:numId w:val="30"/>
              </w:numPr>
            </w:pPr>
            <w:r>
              <w:t>Øget tørst og mundtørhed</w:t>
            </w:r>
          </w:p>
          <w:p w14:paraId="4779D3AA" w14:textId="77777777" w:rsidR="008E16E0" w:rsidRDefault="008E16E0" w:rsidP="008E16E0">
            <w:pPr>
              <w:pStyle w:val="Listeafsnit"/>
              <w:numPr>
                <w:ilvl w:val="0"/>
                <w:numId w:val="30"/>
              </w:numPr>
            </w:pPr>
            <w:r>
              <w:t>Hyppig vandladning</w:t>
            </w:r>
          </w:p>
          <w:p w14:paraId="2609D92E" w14:textId="77777777" w:rsidR="008E16E0" w:rsidRDefault="008E16E0" w:rsidP="008E16E0">
            <w:pPr>
              <w:pStyle w:val="Listeafsnit"/>
              <w:numPr>
                <w:ilvl w:val="0"/>
                <w:numId w:val="30"/>
              </w:numPr>
            </w:pPr>
            <w:r>
              <w:t>Træthed. slaphed og hovedpine</w:t>
            </w:r>
          </w:p>
          <w:p w14:paraId="66550088" w14:textId="77777777" w:rsidR="008E16E0" w:rsidRDefault="008E16E0" w:rsidP="008E16E0">
            <w:pPr>
              <w:pStyle w:val="Listeafsnit"/>
              <w:numPr>
                <w:ilvl w:val="0"/>
                <w:numId w:val="30"/>
              </w:numPr>
            </w:pPr>
            <w:r>
              <w:t>Koncentrationsbesvær</w:t>
            </w:r>
          </w:p>
          <w:p w14:paraId="0C90DD8D" w14:textId="77777777" w:rsidR="008E16E0" w:rsidRDefault="008E16E0" w:rsidP="008E16E0">
            <w:pPr>
              <w:pStyle w:val="Listeafsnit"/>
              <w:numPr>
                <w:ilvl w:val="0"/>
                <w:numId w:val="30"/>
              </w:numPr>
            </w:pPr>
            <w:r>
              <w:t>Kvalme og utilpashed</w:t>
            </w:r>
          </w:p>
          <w:p w14:paraId="655BEC64" w14:textId="620F2C3C" w:rsidR="00874097" w:rsidRDefault="008E16E0" w:rsidP="00CB6F8C">
            <w:pPr>
              <w:pStyle w:val="Listeafsnit"/>
              <w:numPr>
                <w:ilvl w:val="0"/>
                <w:numId w:val="30"/>
              </w:numPr>
              <w:spacing w:after="240"/>
            </w:pPr>
            <w:r>
              <w:t>Syns -eller føle</w:t>
            </w:r>
            <w:r w:rsidR="00022B71">
              <w:t>forstyrrelser</w:t>
            </w:r>
          </w:p>
          <w:p w14:paraId="4739A067" w14:textId="18FF05D3" w:rsidR="00224797" w:rsidRDefault="008E16E0" w:rsidP="00CB6F8C">
            <w:pPr>
              <w:spacing w:after="240"/>
            </w:pPr>
            <w:r>
              <w:t xml:space="preserve">Det er individuelt, hvornår blodsukkeret er </w:t>
            </w:r>
            <w:r w:rsidR="00874097">
              <w:t>højt</w:t>
            </w:r>
            <w:r>
              <w:t xml:space="preserve">, og kan afhænge af, hvornår borger sidst har spist, </w:t>
            </w:r>
            <w:r w:rsidR="00874097">
              <w:t>fået</w:t>
            </w:r>
            <w:r>
              <w:t xml:space="preserve"> insulin, habituelt blodsukkerniveau</w:t>
            </w:r>
            <w:r w:rsidR="00874097">
              <w:t xml:space="preserve"> osv. L</w:t>
            </w:r>
            <w:r>
              <w:t>ægens plan fo</w:t>
            </w:r>
            <w:r w:rsidR="00874097">
              <w:t>r, hvornår blodsukker skal kontrolleres og ved hvilken blodsukkerværdi lægen skal kontaktes, skal være beskrevet.</w:t>
            </w:r>
          </w:p>
          <w:p w14:paraId="5CC3A03B" w14:textId="0A8F3C75" w:rsidR="00874097" w:rsidRDefault="008E16E0" w:rsidP="00CB6F8C">
            <w:pPr>
              <w:spacing w:after="120"/>
            </w:pPr>
            <w:r w:rsidRPr="00022B71">
              <w:rPr>
                <w:u w:val="single"/>
              </w:rPr>
              <w:t>H</w:t>
            </w:r>
            <w:r w:rsidR="00874097" w:rsidRPr="00022B71">
              <w:rPr>
                <w:u w:val="single"/>
              </w:rPr>
              <w:t>ø</w:t>
            </w:r>
            <w:r w:rsidRPr="00022B71">
              <w:rPr>
                <w:u w:val="single"/>
              </w:rPr>
              <w:t>jt blodsukker gennem l</w:t>
            </w:r>
            <w:r w:rsidR="00874097" w:rsidRPr="00022B71">
              <w:rPr>
                <w:u w:val="single"/>
              </w:rPr>
              <w:t>æ</w:t>
            </w:r>
            <w:r w:rsidRPr="00022B71">
              <w:rPr>
                <w:u w:val="single"/>
              </w:rPr>
              <w:t xml:space="preserve">ngere tid kan resultere </w:t>
            </w:r>
            <w:r w:rsidR="00022B71">
              <w:rPr>
                <w:u w:val="single"/>
              </w:rPr>
              <w:t>i</w:t>
            </w:r>
            <w:r w:rsidRPr="00022B71">
              <w:t xml:space="preserve"> </w:t>
            </w:r>
            <w:r>
              <w:t>bl.a. tandk</w:t>
            </w:r>
            <w:r w:rsidR="00874097">
              <w:t>ø</w:t>
            </w:r>
            <w:r>
              <w:t>dsproblemer, psykisk</w:t>
            </w:r>
            <w:r w:rsidR="00874097">
              <w:t xml:space="preserve"> </w:t>
            </w:r>
            <w:r>
              <w:t>nedstemthed og k</w:t>
            </w:r>
            <w:r w:rsidR="00874097">
              <w:t>lø</w:t>
            </w:r>
            <w:r>
              <w:t xml:space="preserve">e, svie </w:t>
            </w:r>
            <w:r w:rsidR="00874097">
              <w:t>samt</w:t>
            </w:r>
            <w:r>
              <w:t xml:space="preserve"> svampeinfektioner omkring k</w:t>
            </w:r>
            <w:r w:rsidR="00874097">
              <w:t>ø</w:t>
            </w:r>
            <w:r>
              <w:t xml:space="preserve">nsorganerne. Derudover </w:t>
            </w:r>
            <w:r w:rsidR="00874097">
              <w:t>ø</w:t>
            </w:r>
            <w:r>
              <w:t>ges risikoen for at udvikle f</w:t>
            </w:r>
            <w:r w:rsidR="00874097">
              <w:t>ø</w:t>
            </w:r>
            <w:r>
              <w:t>lgesygdomme, fx:</w:t>
            </w:r>
          </w:p>
          <w:p w14:paraId="6FE34963" w14:textId="798FBE2D" w:rsidR="00874097" w:rsidRDefault="008E16E0" w:rsidP="00874097">
            <w:pPr>
              <w:pStyle w:val="Listeafsnit"/>
              <w:numPr>
                <w:ilvl w:val="0"/>
                <w:numId w:val="30"/>
              </w:numPr>
            </w:pPr>
            <w:r>
              <w:t xml:space="preserve">Nedsat syn (pga. forkalkninger i de </w:t>
            </w:r>
            <w:r w:rsidR="00874097">
              <w:t>små</w:t>
            </w:r>
            <w:r>
              <w:t xml:space="preserve"> kar)</w:t>
            </w:r>
          </w:p>
          <w:p w14:paraId="74A85694" w14:textId="77777777" w:rsidR="00874097" w:rsidRDefault="00874097" w:rsidP="00874097">
            <w:pPr>
              <w:pStyle w:val="Listeafsnit"/>
              <w:numPr>
                <w:ilvl w:val="0"/>
                <w:numId w:val="30"/>
              </w:numPr>
            </w:pPr>
            <w:r>
              <w:t>Nyre påvirkning</w:t>
            </w:r>
          </w:p>
          <w:p w14:paraId="1C96B962" w14:textId="499D5422" w:rsidR="008E16E0" w:rsidRPr="00756A7E" w:rsidRDefault="008E16E0" w:rsidP="00CB6F8C">
            <w:pPr>
              <w:pStyle w:val="Listeafsnit"/>
              <w:numPr>
                <w:ilvl w:val="0"/>
                <w:numId w:val="30"/>
              </w:numPr>
              <w:spacing w:after="120"/>
            </w:pPr>
            <w:r>
              <w:t>Nervep</w:t>
            </w:r>
            <w:r w:rsidR="00874097">
              <w:t>å</w:t>
            </w:r>
            <w:r>
              <w:t>virkning (</w:t>
            </w:r>
            <w:proofErr w:type="spellStart"/>
            <w:r>
              <w:t>Neuropati</w:t>
            </w:r>
            <w:proofErr w:type="spellEnd"/>
            <w:r>
              <w:t xml:space="preserve">, med nedsat </w:t>
            </w:r>
            <w:r w:rsidR="00874097">
              <w:t>følesans</w:t>
            </w:r>
            <w:r>
              <w:t xml:space="preserve"> i fx </w:t>
            </w:r>
            <w:r w:rsidR="00874097">
              <w:t>fødder</w:t>
            </w:r>
            <w:r>
              <w:t xml:space="preserve"> og derved risiko for </w:t>
            </w:r>
            <w:r w:rsidR="00874097">
              <w:t>fodsål</w:t>
            </w:r>
            <w:r>
              <w:t>)</w:t>
            </w:r>
            <w:r w:rsidR="00874097">
              <w:t>.</w:t>
            </w:r>
          </w:p>
        </w:tc>
      </w:tr>
      <w:tr w:rsidR="008733E2" w:rsidRPr="00F52DB2" w14:paraId="457D024C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F28FD8F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Præparater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2D44" w14:textId="77777777" w:rsidR="008733E2" w:rsidRDefault="008733E2" w:rsidP="00B45E1D">
            <w:pPr>
              <w:jc w:val="left"/>
            </w:pPr>
            <w:r>
              <w:t xml:space="preserve">Hurtigtvirkende insulin (Fx </w:t>
            </w:r>
            <w:proofErr w:type="spellStart"/>
            <w:r>
              <w:t>Actrapid</w:t>
            </w:r>
            <w:proofErr w:type="spellEnd"/>
            <w:r>
              <w:t xml:space="preserve">, </w:t>
            </w:r>
            <w:proofErr w:type="spellStart"/>
            <w:r>
              <w:t>Insuman</w:t>
            </w:r>
            <w:proofErr w:type="spellEnd"/>
            <w:r>
              <w:t xml:space="preserve"> Rapid, </w:t>
            </w:r>
            <w:proofErr w:type="spellStart"/>
            <w:r>
              <w:t>Novorapid</w:t>
            </w:r>
            <w:proofErr w:type="spellEnd"/>
            <w:r>
              <w:t>)</w:t>
            </w:r>
          </w:p>
          <w:p w14:paraId="49996D22" w14:textId="77777777" w:rsidR="008733E2" w:rsidRPr="00756A7E" w:rsidRDefault="008733E2" w:rsidP="008733E2">
            <w:pPr>
              <w:pStyle w:val="Listeafsnit"/>
              <w:numPr>
                <w:ilvl w:val="0"/>
                <w:numId w:val="17"/>
              </w:numPr>
              <w:spacing w:after="120"/>
              <w:jc w:val="left"/>
            </w:pPr>
            <w:r w:rsidRPr="00756A7E">
              <w:t xml:space="preserve">Virkning indtræder efter ca. 15 minutter. </w:t>
            </w:r>
          </w:p>
          <w:p w14:paraId="1DFC8C9E" w14:textId="77777777" w:rsidR="008733E2" w:rsidRPr="00756A7E" w:rsidRDefault="008733E2" w:rsidP="008733E2">
            <w:pPr>
              <w:pStyle w:val="Listeafsnit"/>
              <w:numPr>
                <w:ilvl w:val="0"/>
                <w:numId w:val="17"/>
              </w:numPr>
              <w:spacing w:after="240"/>
              <w:jc w:val="left"/>
            </w:pPr>
            <w:r w:rsidRPr="00756A7E">
              <w:t>Maksimal virkning efter ca. 2-3 timer. Virkning varer ca. 7-8 timer</w:t>
            </w:r>
          </w:p>
          <w:p w14:paraId="7CAB4603" w14:textId="77777777" w:rsidR="008733E2" w:rsidRDefault="008733E2" w:rsidP="00B45E1D">
            <w:pPr>
              <w:jc w:val="left"/>
            </w:pPr>
            <w:r>
              <w:t xml:space="preserve">Langsomt virkende insulin (Fx </w:t>
            </w:r>
            <w:proofErr w:type="spellStart"/>
            <w:r>
              <w:t>Lantus</w:t>
            </w:r>
            <w:proofErr w:type="spellEnd"/>
            <w:r>
              <w:t xml:space="preserve">, </w:t>
            </w:r>
            <w:proofErr w:type="spellStart"/>
            <w:r>
              <w:t>Levemir</w:t>
            </w:r>
            <w:proofErr w:type="spellEnd"/>
            <w:r>
              <w:t xml:space="preserve">, </w:t>
            </w:r>
            <w:proofErr w:type="spellStart"/>
            <w:r>
              <w:t>Touejo</w:t>
            </w:r>
            <w:proofErr w:type="spellEnd"/>
            <w:r>
              <w:t xml:space="preserve">, </w:t>
            </w:r>
            <w:proofErr w:type="spellStart"/>
            <w:r>
              <w:t>Tresiba</w:t>
            </w:r>
            <w:proofErr w:type="spellEnd"/>
            <w:r>
              <w:t>)</w:t>
            </w:r>
          </w:p>
          <w:p w14:paraId="51A9DF45" w14:textId="77777777" w:rsidR="008733E2" w:rsidRPr="00756A7E" w:rsidRDefault="008733E2" w:rsidP="008733E2">
            <w:pPr>
              <w:pStyle w:val="Listeafsnit"/>
              <w:numPr>
                <w:ilvl w:val="0"/>
                <w:numId w:val="18"/>
              </w:numPr>
              <w:spacing w:after="120"/>
              <w:jc w:val="left"/>
            </w:pPr>
            <w:r w:rsidRPr="00756A7E">
              <w:t xml:space="preserve">Virkning indtræder efter ca. 1,5 timer. </w:t>
            </w:r>
          </w:p>
          <w:p w14:paraId="7CE72F68" w14:textId="77777777" w:rsidR="008733E2" w:rsidRPr="00756A7E" w:rsidRDefault="008733E2" w:rsidP="008733E2">
            <w:pPr>
              <w:pStyle w:val="Listeafsnit"/>
              <w:numPr>
                <w:ilvl w:val="0"/>
                <w:numId w:val="18"/>
              </w:numPr>
              <w:spacing w:after="240"/>
              <w:jc w:val="left"/>
            </w:pPr>
            <w:r w:rsidRPr="00756A7E">
              <w:t xml:space="preserve">Maksimal virkning efter ca. 4-12 timer. Virkning varer ca. 18-36 timer </w:t>
            </w:r>
          </w:p>
          <w:p w14:paraId="4C12A4B6" w14:textId="77777777" w:rsidR="008733E2" w:rsidRDefault="008733E2" w:rsidP="00B45E1D">
            <w:pPr>
              <w:jc w:val="left"/>
            </w:pPr>
            <w:r>
              <w:t xml:space="preserve">Kombination af hurtigt og langsomt virkende insulin (Fx </w:t>
            </w:r>
            <w:proofErr w:type="spellStart"/>
            <w:r>
              <w:t>Mixtard</w:t>
            </w:r>
            <w:proofErr w:type="spellEnd"/>
            <w:r>
              <w:t xml:space="preserve">, </w:t>
            </w:r>
            <w:proofErr w:type="spellStart"/>
            <w:r>
              <w:t>Novomix</w:t>
            </w:r>
            <w:proofErr w:type="spellEnd"/>
            <w:r>
              <w:t xml:space="preserve">, </w:t>
            </w:r>
            <w:proofErr w:type="spellStart"/>
            <w:r>
              <w:t>Ryzodeg</w:t>
            </w:r>
            <w:proofErr w:type="spellEnd"/>
            <w:r>
              <w:t xml:space="preserve">) </w:t>
            </w:r>
          </w:p>
          <w:p w14:paraId="0245C4BF" w14:textId="77777777" w:rsidR="008733E2" w:rsidRPr="00756A7E" w:rsidRDefault="008733E2" w:rsidP="008733E2">
            <w:pPr>
              <w:pStyle w:val="Listeafsnit"/>
              <w:numPr>
                <w:ilvl w:val="0"/>
                <w:numId w:val="19"/>
              </w:numPr>
              <w:spacing w:after="120"/>
              <w:jc w:val="left"/>
            </w:pPr>
            <w:r w:rsidRPr="00756A7E">
              <w:t xml:space="preserve">Virkning indtræder efter ca. 0,5 timer. </w:t>
            </w:r>
          </w:p>
          <w:p w14:paraId="24AB72C1" w14:textId="77777777" w:rsidR="008733E2" w:rsidRDefault="008733E2" w:rsidP="00B45E1D">
            <w:pPr>
              <w:pStyle w:val="Listeafsnit"/>
              <w:numPr>
                <w:ilvl w:val="0"/>
                <w:numId w:val="19"/>
              </w:numPr>
              <w:spacing w:after="240"/>
              <w:jc w:val="left"/>
            </w:pPr>
            <w:r w:rsidRPr="00756A7E">
              <w:t>Maksimal virkning efter ca. 2-8 timer. Virkning varer ca. 18-36 timer</w:t>
            </w:r>
          </w:p>
          <w:p w14:paraId="3138EE8E" w14:textId="340F0EF3" w:rsidR="00603EC9" w:rsidRDefault="00603EC9" w:rsidP="00603EC9">
            <w:pPr>
              <w:spacing w:after="240"/>
              <w:jc w:val="left"/>
              <w:rPr>
                <w:b/>
                <w:bCs/>
                <w:i/>
                <w:iCs/>
              </w:rPr>
            </w:pPr>
            <w:r w:rsidRPr="00603EC9">
              <w:rPr>
                <w:b/>
                <w:bCs/>
                <w:i/>
                <w:iCs/>
              </w:rPr>
              <w:t xml:space="preserve">Adskil de forskellige typer insulin </w:t>
            </w:r>
            <w:r>
              <w:rPr>
                <w:b/>
                <w:bCs/>
                <w:i/>
                <w:iCs/>
              </w:rPr>
              <w:t xml:space="preserve">gerne i individuelle bokse </w:t>
            </w:r>
            <w:r w:rsidRPr="00603EC9">
              <w:rPr>
                <w:b/>
                <w:bCs/>
                <w:i/>
                <w:iCs/>
              </w:rPr>
              <w:t>og tag kun én pen frem ad gangen.</w:t>
            </w:r>
          </w:p>
          <w:p w14:paraId="47F2B7AB" w14:textId="05ACCDAA" w:rsidR="00603EC9" w:rsidRPr="00603EC9" w:rsidRDefault="00603EC9" w:rsidP="00603EC9">
            <w:pPr>
              <w:spacing w:after="24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PN Insulin opbevares særskilt som øvrig </w:t>
            </w:r>
            <w:r w:rsidR="008A6299">
              <w:rPr>
                <w:i/>
                <w:iCs/>
              </w:rPr>
              <w:t>PN-medicin</w:t>
            </w:r>
            <w:r>
              <w:rPr>
                <w:i/>
                <w:iCs/>
              </w:rPr>
              <w:t>.</w:t>
            </w:r>
          </w:p>
        </w:tc>
      </w:tr>
      <w:tr w:rsidR="00874097" w:rsidRPr="00F52DB2" w14:paraId="3F15FDD8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7C57C9" w14:textId="248DAF10" w:rsidR="00874097" w:rsidRPr="008733E2" w:rsidRDefault="00874097" w:rsidP="00B45E1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Fremgangsmåde ved Insulininjektion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427D" w14:textId="40BD4DD4" w:rsidR="00874097" w:rsidRPr="00224797" w:rsidRDefault="00874097" w:rsidP="00CB6F8C">
            <w:pPr>
              <w:spacing w:after="120"/>
              <w:rPr>
                <w:rFonts w:ascii="Calibri" w:eastAsiaTheme="minorHAnsi" w:hAnsi="Calibri" w:cstheme="minorBidi"/>
                <w:color w:val="auto"/>
              </w:rPr>
            </w:pPr>
            <w:r>
              <w:t>Insulinpennen skal opbevares og håndteres, som anvist i indlægssedlen eller på medicin.dk.</w:t>
            </w:r>
          </w:p>
          <w:p w14:paraId="78A884A4" w14:textId="395F97C8" w:rsidR="00874097" w:rsidRDefault="00874097" w:rsidP="00CB6F8C">
            <w:pPr>
              <w:spacing w:after="120"/>
            </w:pPr>
            <w:r>
              <w:t>Hvis der er anvisninger fra borgers læge eller den ansvarlige diabetesbehandler om fx injektions område og blodsukker måling, følges disse.</w:t>
            </w:r>
          </w:p>
          <w:p w14:paraId="79409EB8" w14:textId="234E9E5D" w:rsidR="00224797" w:rsidRDefault="00874097" w:rsidP="00CB6F8C">
            <w:pPr>
              <w:spacing w:after="120"/>
            </w:pPr>
            <w:r>
              <w:t xml:space="preserve">Fremgangsmåden </w:t>
            </w:r>
            <w:r w:rsidR="003613E3">
              <w:t xml:space="preserve">fra VAR procedure </w:t>
            </w:r>
            <w:r>
              <w:t xml:space="preserve">for korrekt </w:t>
            </w:r>
            <w:r w:rsidRPr="00022B71">
              <w:rPr>
                <w:b/>
                <w:bCs/>
                <w:i/>
                <w:iCs/>
              </w:rPr>
              <w:t>administration af insulin med insulin pen</w:t>
            </w:r>
            <w:r w:rsidR="00022B71">
              <w:t xml:space="preserve"> </w:t>
            </w:r>
            <w:r>
              <w:t>følges.</w:t>
            </w:r>
          </w:p>
        </w:tc>
      </w:tr>
      <w:tr w:rsidR="00224797" w:rsidRPr="00F52DB2" w14:paraId="2477B72D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253CC4A" w14:textId="25831716" w:rsidR="00224797" w:rsidRDefault="00224797" w:rsidP="00B45E1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Skift af in</w:t>
            </w:r>
            <w:r w:rsidR="00C96014">
              <w:rPr>
                <w:b/>
                <w:bCs/>
              </w:rPr>
              <w:t>d</w:t>
            </w:r>
            <w:r>
              <w:rPr>
                <w:b/>
                <w:bCs/>
              </w:rPr>
              <w:t>stikssted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FAAE" w14:textId="77777777" w:rsidR="00CB6F8C" w:rsidRDefault="00224797" w:rsidP="00224797">
            <w:r>
              <w:t xml:space="preserve">Hvis man giver insulinen det samme sted mange gange, kan der opstå </w:t>
            </w:r>
            <w:proofErr w:type="spellStart"/>
            <w:r>
              <w:t>infiltrater</w:t>
            </w:r>
            <w:proofErr w:type="spellEnd"/>
            <w:r>
              <w:t xml:space="preserve"> (små knuder), som kan ses eller mærkes i huden. De kan medvirke til en uregelmæssig insulinoptagelse og dermed en dårligt reguleret diabetes. </w:t>
            </w:r>
          </w:p>
          <w:p w14:paraId="37D41BD8" w14:textId="77777777" w:rsidR="00CB6F8C" w:rsidRDefault="00CB6F8C" w:rsidP="00224797"/>
          <w:p w14:paraId="13E1B76F" w14:textId="5F3D0C7A" w:rsidR="00224797" w:rsidRDefault="00224797" w:rsidP="00224797">
            <w:r>
              <w:t>Derfor:</w:t>
            </w:r>
          </w:p>
          <w:p w14:paraId="60912CEB" w14:textId="77777777" w:rsidR="00224797" w:rsidRDefault="00224797" w:rsidP="00224797">
            <w:pPr>
              <w:pStyle w:val="Listeafsnit"/>
              <w:numPr>
                <w:ilvl w:val="0"/>
                <w:numId w:val="32"/>
              </w:numPr>
            </w:pPr>
            <w:r>
              <w:t>Skift indstikssted ved hver injektion</w:t>
            </w:r>
          </w:p>
          <w:p w14:paraId="17248769" w14:textId="77777777" w:rsidR="00224797" w:rsidRDefault="00224797" w:rsidP="00224797">
            <w:pPr>
              <w:pStyle w:val="Listeafsnit"/>
              <w:numPr>
                <w:ilvl w:val="0"/>
                <w:numId w:val="32"/>
              </w:numPr>
            </w:pPr>
            <w:r>
              <w:t>Hold mindst 1 cm afstand til sidste indstikssted</w:t>
            </w:r>
          </w:p>
          <w:p w14:paraId="3D4126E6" w14:textId="1A99582F" w:rsidR="00224797" w:rsidRDefault="00224797" w:rsidP="00CB6F8C">
            <w:pPr>
              <w:pStyle w:val="Listeafsnit"/>
              <w:numPr>
                <w:ilvl w:val="0"/>
                <w:numId w:val="32"/>
              </w:numPr>
              <w:spacing w:after="240"/>
            </w:pPr>
            <w:r>
              <w:t xml:space="preserve">Observer for evt. </w:t>
            </w:r>
            <w:proofErr w:type="spellStart"/>
            <w:r>
              <w:t>infiltrater</w:t>
            </w:r>
            <w:proofErr w:type="spellEnd"/>
            <w:r>
              <w:t xml:space="preserve"> ved her injektion</w:t>
            </w:r>
          </w:p>
          <w:p w14:paraId="31D21BA8" w14:textId="77777777" w:rsidR="00CB6F8C" w:rsidRDefault="00224797" w:rsidP="00CB6F8C">
            <w:pPr>
              <w:spacing w:after="240"/>
            </w:pPr>
            <w:r>
              <w:t>Til at si</w:t>
            </w:r>
            <w:r w:rsidR="00692A4D">
              <w:t>k</w:t>
            </w:r>
            <w:r>
              <w:t>re at der skiftes indstikssted ved her injektion, kan stikkeskema anvendes. Skriv dato og eventuelt klokkesl</w:t>
            </w:r>
            <w:r w:rsidR="00C96014">
              <w:t>æ</w:t>
            </w:r>
            <w:r>
              <w:t>t ved det sted</w:t>
            </w:r>
            <w:r w:rsidR="00692A4D">
              <w:t>, hvor injektionen er givet.</w:t>
            </w:r>
            <w:r w:rsidR="003613E3">
              <w:t xml:space="preserve"> Indgift af insulin dokumenteres på </w:t>
            </w:r>
            <w:proofErr w:type="spellStart"/>
            <w:r w:rsidR="003613E3">
              <w:t>Sensum</w:t>
            </w:r>
            <w:proofErr w:type="spellEnd"/>
            <w:r w:rsidR="003613E3">
              <w:t xml:space="preserve"> bosted – stikkeskema skal derfor ikke gemmes.</w:t>
            </w:r>
          </w:p>
          <w:p w14:paraId="6D30ED88" w14:textId="7DC2B621" w:rsidR="00224797" w:rsidRDefault="00692A4D" w:rsidP="00CB6F8C">
            <w:pPr>
              <w:spacing w:after="120"/>
            </w:pPr>
            <w:r>
              <w:t xml:space="preserve">Ofte </w:t>
            </w:r>
            <w:r w:rsidR="00224797">
              <w:t>gives langtidsvirkende insulin i l</w:t>
            </w:r>
            <w:r>
              <w:t>å</w:t>
            </w:r>
            <w:r w:rsidR="00224797">
              <w:t xml:space="preserve">ret og korttidsvirkende insulin i maven. </w:t>
            </w:r>
            <w:r>
              <w:t xml:space="preserve">Dette gælder, hvis andet ikke </w:t>
            </w:r>
            <w:r w:rsidR="00224797">
              <w:t>er angivet af l</w:t>
            </w:r>
            <w:r>
              <w:t>æ</w:t>
            </w:r>
            <w:r w:rsidR="00224797">
              <w:t>gen.</w:t>
            </w:r>
          </w:p>
          <w:p w14:paraId="23D10348" w14:textId="6A237448" w:rsidR="00692A4D" w:rsidRDefault="00692A4D" w:rsidP="00692A4D"/>
        </w:tc>
      </w:tr>
      <w:tr w:rsidR="00874097" w:rsidRPr="00F52DB2" w14:paraId="0C697897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B5BE2E" w14:textId="30F00DE3" w:rsidR="00874097" w:rsidRDefault="00874097" w:rsidP="00874097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Særlige forhold ved insulin behandling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85A0" w14:textId="77777777" w:rsidR="00874097" w:rsidRPr="000E5946" w:rsidRDefault="00874097" w:rsidP="00874097">
            <w:pPr>
              <w:spacing w:after="120"/>
              <w:jc w:val="left"/>
            </w:pPr>
            <w:r w:rsidRPr="000E5946">
              <w:t>Ved et højt blodsukker, hvor der gives hurtigvirkende insulin, skal der IKKE måles blodsukkerværdi umiddelbart efter indgift af insulinen.</w:t>
            </w:r>
          </w:p>
          <w:p w14:paraId="467FFB87" w14:textId="77777777" w:rsidR="00874097" w:rsidRPr="000E5946" w:rsidRDefault="00874097" w:rsidP="00874097">
            <w:pPr>
              <w:spacing w:after="120"/>
              <w:jc w:val="left"/>
            </w:pPr>
            <w:r w:rsidRPr="000E5946">
              <w:t>Virkningen af insulin indtræder efter 15 minutter, men har først maksimum virkning efter 2-3 timer og varer 7-8 timer.</w:t>
            </w:r>
          </w:p>
          <w:p w14:paraId="314DB019" w14:textId="647BC5AF" w:rsidR="00692A4D" w:rsidRDefault="00874097" w:rsidP="00CB6F8C">
            <w:pPr>
              <w:spacing w:after="120"/>
              <w:jc w:val="left"/>
            </w:pPr>
            <w:r w:rsidRPr="000E5946">
              <w:t>Dette gælder medmindre andet specifikt er aftalt med</w:t>
            </w:r>
            <w:r>
              <w:t xml:space="preserve"> </w:t>
            </w:r>
            <w:proofErr w:type="gramStart"/>
            <w:r w:rsidR="00224797">
              <w:t>den behandlingsansvarlige læge/sygehus</w:t>
            </w:r>
            <w:proofErr w:type="gramEnd"/>
            <w:r w:rsidRPr="000E5946">
              <w:t>.</w:t>
            </w:r>
          </w:p>
        </w:tc>
      </w:tr>
      <w:tr w:rsidR="008733E2" w:rsidRPr="00F52DB2" w14:paraId="5AEDF0C4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9D92FD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Dispensering og administration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CE75" w14:textId="77777777" w:rsidR="008733E2" w:rsidRPr="00756A7E" w:rsidRDefault="008733E2" w:rsidP="008733E2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756A7E">
              <w:t>FMK opdateres</w:t>
            </w:r>
          </w:p>
          <w:p w14:paraId="04295F3C" w14:textId="77777777" w:rsidR="008733E2" w:rsidRPr="00756A7E" w:rsidRDefault="008733E2" w:rsidP="00B45E1D">
            <w:pPr>
              <w:pStyle w:val="Listeafsnit"/>
              <w:autoSpaceDE w:val="0"/>
              <w:autoSpaceDN w:val="0"/>
              <w:adjustRightInd w:val="0"/>
              <w:jc w:val="left"/>
            </w:pPr>
          </w:p>
          <w:p w14:paraId="423736AC" w14:textId="77777777" w:rsidR="008733E2" w:rsidRPr="00756A7E" w:rsidRDefault="008733E2" w:rsidP="008733E2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756A7E">
              <w:t>Ved dispensering og administration anvendes ordination i FMK</w:t>
            </w:r>
          </w:p>
          <w:p w14:paraId="5B392EF6" w14:textId="77777777" w:rsidR="008733E2" w:rsidRPr="00756A7E" w:rsidRDefault="008733E2" w:rsidP="00B45E1D">
            <w:pPr>
              <w:autoSpaceDE w:val="0"/>
              <w:autoSpaceDN w:val="0"/>
              <w:adjustRightInd w:val="0"/>
              <w:jc w:val="left"/>
            </w:pPr>
          </w:p>
          <w:p w14:paraId="3BCB8256" w14:textId="37F144FF" w:rsidR="008733E2" w:rsidRPr="00756A7E" w:rsidRDefault="008733E2" w:rsidP="008733E2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756A7E">
              <w:t xml:space="preserve">Injektionsstedet identificeres ud fra hjælpeskema og </w:t>
            </w:r>
            <w:r w:rsidR="00380E17">
              <w:t>i</w:t>
            </w:r>
            <w:r w:rsidRPr="00756A7E">
              <w:t>njektionsprocedure jf. VAR følges</w:t>
            </w:r>
          </w:p>
          <w:p w14:paraId="0953F776" w14:textId="77777777" w:rsidR="008733E2" w:rsidRPr="00756A7E" w:rsidRDefault="008733E2" w:rsidP="00B45E1D">
            <w:pPr>
              <w:ind w:left="720"/>
              <w:jc w:val="left"/>
              <w:rPr>
                <w:rFonts w:ascii="Calibri" w:eastAsia="Calibri" w:hAnsi="Calibri" w:cs="Calibri"/>
                <w:color w:val="auto"/>
              </w:rPr>
            </w:pPr>
            <w:r>
              <w:t xml:space="preserve">Administration af insulin med </w:t>
            </w:r>
            <w:proofErr w:type="spellStart"/>
            <w:r>
              <w:t>insulinpen</w:t>
            </w:r>
            <w:proofErr w:type="spellEnd"/>
            <w:r>
              <w:t xml:space="preserve"> </w:t>
            </w:r>
            <w:hyperlink r:id="rId9" w:history="1">
              <w:r w:rsidRPr="00021FDD">
                <w:rPr>
                  <w:rStyle w:val="Hyperlink"/>
                </w:rPr>
                <w:t>https://www.varportal.dk/portal/procedure/9946/</w:t>
              </w:r>
            </w:hyperlink>
          </w:p>
          <w:p w14:paraId="754911A7" w14:textId="77777777" w:rsidR="008733E2" w:rsidRPr="00AA628E" w:rsidRDefault="008733E2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</w:p>
          <w:p w14:paraId="0F371ED2" w14:textId="77777777" w:rsidR="008733E2" w:rsidRPr="00756A7E" w:rsidRDefault="008733E2" w:rsidP="008733E2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756A7E">
              <w:t>Hjælpeskema findes nederst i instruksen.</w:t>
            </w:r>
          </w:p>
          <w:p w14:paraId="50A6082C" w14:textId="55898097" w:rsidR="008733E2" w:rsidRPr="00756A7E" w:rsidRDefault="008733E2" w:rsidP="00B45E1D">
            <w:pPr>
              <w:pStyle w:val="Listeafsnit"/>
              <w:autoSpaceDE w:val="0"/>
              <w:autoSpaceDN w:val="0"/>
              <w:adjustRightInd w:val="0"/>
              <w:jc w:val="left"/>
            </w:pPr>
            <w:r w:rsidRPr="00756A7E">
              <w:t xml:space="preserve">OBS! der dokumenteres dato på hjælpeskema. Når skemaet er udfyldt, </w:t>
            </w:r>
            <w:r w:rsidR="003613E3">
              <w:t>kan skemae</w:t>
            </w:r>
            <w:r w:rsidR="00380E17">
              <w:t>t</w:t>
            </w:r>
            <w:r w:rsidR="003613E3">
              <w:t xml:space="preserve"> makuleres</w:t>
            </w:r>
            <w:r w:rsidRPr="00756A7E">
              <w:t xml:space="preserve"> </w:t>
            </w:r>
          </w:p>
          <w:p w14:paraId="0C946E6F" w14:textId="77777777" w:rsidR="008733E2" w:rsidRPr="00756A7E" w:rsidRDefault="008733E2" w:rsidP="00B45E1D">
            <w:pPr>
              <w:pStyle w:val="Listeafsnit"/>
              <w:autoSpaceDE w:val="0"/>
              <w:autoSpaceDN w:val="0"/>
              <w:adjustRightInd w:val="0"/>
              <w:jc w:val="left"/>
            </w:pPr>
          </w:p>
          <w:p w14:paraId="355D41C3" w14:textId="77777777" w:rsidR="008733E2" w:rsidRPr="00756A7E" w:rsidRDefault="008733E2" w:rsidP="008733E2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756A7E">
              <w:t xml:space="preserve">Der kvitteres for </w:t>
            </w:r>
            <w:proofErr w:type="spellStart"/>
            <w:r w:rsidRPr="00756A7E">
              <w:t>insulingivning</w:t>
            </w:r>
            <w:proofErr w:type="spellEnd"/>
            <w:r w:rsidRPr="00756A7E">
              <w:t xml:space="preserve"> i </w:t>
            </w:r>
            <w:proofErr w:type="spellStart"/>
            <w:r w:rsidRPr="00756A7E">
              <w:t>Sensum</w:t>
            </w:r>
            <w:proofErr w:type="spellEnd"/>
            <w:r w:rsidRPr="00756A7E">
              <w:t xml:space="preserve"> Bosted i medicinmodulet</w:t>
            </w:r>
          </w:p>
          <w:p w14:paraId="55B09A79" w14:textId="77777777" w:rsidR="008733E2" w:rsidRPr="00756A7E" w:rsidRDefault="008733E2" w:rsidP="00B45E1D">
            <w:pPr>
              <w:pStyle w:val="Listeafsnit"/>
              <w:autoSpaceDE w:val="0"/>
              <w:autoSpaceDN w:val="0"/>
              <w:adjustRightInd w:val="0"/>
              <w:jc w:val="left"/>
            </w:pPr>
          </w:p>
          <w:p w14:paraId="203CE370" w14:textId="1ADA619A" w:rsidR="008733E2" w:rsidRPr="000E5946" w:rsidRDefault="008733E2" w:rsidP="00CB6F8C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/>
              <w:jc w:val="left"/>
            </w:pPr>
            <w:r w:rsidRPr="00756A7E">
              <w:t>Ved ibrugtagning af ”ny” insulin pen påføres navn, cpr. nr. samt anbrudsdato</w:t>
            </w:r>
          </w:p>
        </w:tc>
      </w:tr>
      <w:tr w:rsidR="00876BC4" w14:paraId="01E2C74E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D722E1" w14:textId="77777777" w:rsidR="00876BC4" w:rsidRDefault="00876BC4" w:rsidP="00C654E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Komplikationer ved </w:t>
            </w:r>
            <w:proofErr w:type="spellStart"/>
            <w:r>
              <w:rPr>
                <w:b/>
                <w:bCs/>
              </w:rPr>
              <w:t>insulingivning</w:t>
            </w:r>
            <w:proofErr w:type="spellEnd"/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AD5F" w14:textId="46DF071E" w:rsidR="00876BC4" w:rsidRDefault="00876BC4" w:rsidP="00CB6F8C">
            <w:pPr>
              <w:spacing w:after="120"/>
            </w:pPr>
            <w:r>
              <w:t>Følgende komplikationer kan opstå:</w:t>
            </w:r>
          </w:p>
          <w:p w14:paraId="5396D666" w14:textId="77777777" w:rsidR="00876BC4" w:rsidRDefault="00876BC4" w:rsidP="00876BC4">
            <w:pPr>
              <w:pStyle w:val="Listeafsnit"/>
              <w:numPr>
                <w:ilvl w:val="0"/>
                <w:numId w:val="33"/>
              </w:numPr>
            </w:pPr>
            <w:proofErr w:type="spellStart"/>
            <w:r>
              <w:t>Infiltrater</w:t>
            </w:r>
            <w:proofErr w:type="spellEnd"/>
            <w:r>
              <w:t xml:space="preserve"> i fedtvævet</w:t>
            </w:r>
          </w:p>
          <w:p w14:paraId="5CABEC6E" w14:textId="77777777" w:rsidR="00876BC4" w:rsidRDefault="00876BC4" w:rsidP="00CB6F8C">
            <w:pPr>
              <w:pStyle w:val="Listeafsnit"/>
              <w:numPr>
                <w:ilvl w:val="0"/>
                <w:numId w:val="33"/>
              </w:numPr>
              <w:spacing w:after="120"/>
            </w:pPr>
            <w:r>
              <w:t>Injektion i muskel i stedet for fedtvæv, hvorved insulinen optages hurtigere end ønsket (medfører hurtigt blodsukkerfald og ubehag / symptomer på lavt blodsukker)</w:t>
            </w:r>
          </w:p>
          <w:p w14:paraId="1807E4D7" w14:textId="7520F03F" w:rsidR="003613E3" w:rsidRDefault="00876BC4" w:rsidP="00CB6F8C">
            <w:pPr>
              <w:spacing w:after="120"/>
            </w:pPr>
            <w:r>
              <w:t xml:space="preserve">Begge komplikationer kan resultere i en </w:t>
            </w:r>
            <w:proofErr w:type="spellStart"/>
            <w:r>
              <w:t>dysreguleret</w:t>
            </w:r>
            <w:proofErr w:type="spellEnd"/>
            <w:r>
              <w:t xml:space="preserve"> diabetes og forebygges ved korrekt injektionsteknik.</w:t>
            </w:r>
          </w:p>
        </w:tc>
      </w:tr>
      <w:tr w:rsidR="00876BC4" w:rsidRPr="00F52DB2" w14:paraId="3C8CC10F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80862E" w14:textId="74B224E5" w:rsidR="00876BC4" w:rsidRPr="008733E2" w:rsidRDefault="005764EE" w:rsidP="00B45E1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Blodsukkermåling som baggrund for </w:t>
            </w:r>
            <w:proofErr w:type="spellStart"/>
            <w:r>
              <w:rPr>
                <w:b/>
                <w:bCs/>
              </w:rPr>
              <w:t>insulingivning</w:t>
            </w:r>
            <w:proofErr w:type="spellEnd"/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AC4" w14:textId="67950164" w:rsidR="005764EE" w:rsidRDefault="005764EE" w:rsidP="00CB6F8C">
            <w:pPr>
              <w:spacing w:after="120"/>
            </w:pPr>
            <w:r>
              <w:t>Blodsukkerm</w:t>
            </w:r>
            <w:r w:rsidR="003613E3">
              <w:t>å</w:t>
            </w:r>
            <w:r>
              <w:t xml:space="preserve">ling sker efter lægens ordination. Ved borgere i stabil fase er formålet med kontrol af blodsukker </w:t>
            </w:r>
            <w:r w:rsidR="003613E3">
              <w:t>ofte</w:t>
            </w:r>
            <w:r>
              <w:t xml:space="preserve"> at opfange en tendens til lave eller meget høje blodsukkerværdier, idet det kan have alvorlige konsekvenser for borger.</w:t>
            </w:r>
          </w:p>
          <w:p w14:paraId="769245E8" w14:textId="0BADA5BD" w:rsidR="005764EE" w:rsidRDefault="005764EE" w:rsidP="00CB6F8C">
            <w:pPr>
              <w:spacing w:after="120"/>
            </w:pPr>
            <w:r w:rsidRPr="007A3FE0">
              <w:rPr>
                <w:u w:val="single"/>
              </w:rPr>
              <w:t>Blodsukker skal måles, hvis borger med diabetes udviser tegn på:</w:t>
            </w:r>
          </w:p>
          <w:p w14:paraId="28A47A11" w14:textId="77777777" w:rsidR="005764EE" w:rsidRDefault="005764EE" w:rsidP="005764EE">
            <w:pPr>
              <w:pStyle w:val="Listeafsnit"/>
              <w:numPr>
                <w:ilvl w:val="0"/>
                <w:numId w:val="35"/>
              </w:numPr>
            </w:pPr>
            <w:r>
              <w:t>Lavt blodsukker</w:t>
            </w:r>
          </w:p>
          <w:p w14:paraId="56C019D5" w14:textId="77777777" w:rsidR="005764EE" w:rsidRDefault="005764EE" w:rsidP="005764EE">
            <w:pPr>
              <w:pStyle w:val="Listeafsnit"/>
              <w:numPr>
                <w:ilvl w:val="0"/>
                <w:numId w:val="35"/>
              </w:numPr>
            </w:pPr>
            <w:r>
              <w:t>Højt blodsukker</w:t>
            </w:r>
          </w:p>
          <w:p w14:paraId="669192AB" w14:textId="09A5C180" w:rsidR="005764EE" w:rsidRDefault="005764EE" w:rsidP="005764EE">
            <w:pPr>
              <w:pStyle w:val="Listeafsnit"/>
              <w:numPr>
                <w:ilvl w:val="0"/>
                <w:numId w:val="35"/>
              </w:numPr>
            </w:pPr>
            <w:r>
              <w:t>Feber, da feber nedsætter kroppens evne til at reagere på insulin (Det aftales med l</w:t>
            </w:r>
            <w:r w:rsidR="007A3FE0">
              <w:t>æ</w:t>
            </w:r>
            <w:r>
              <w:t>ge, hvor ofte blodsukkeret skal måles og om Insulinmængden skal s</w:t>
            </w:r>
            <w:r w:rsidR="007A3FE0">
              <w:t>æ</w:t>
            </w:r>
            <w:r>
              <w:t>ttes op. Som minimum b</w:t>
            </w:r>
            <w:r w:rsidR="007A3FE0">
              <w:t>ø</w:t>
            </w:r>
            <w:r>
              <w:t>r der m</w:t>
            </w:r>
            <w:r w:rsidR="007A3FE0">
              <w:t>å</w:t>
            </w:r>
            <w:r>
              <w:t>les fasteblodsukker dagligt</w:t>
            </w:r>
            <w:r w:rsidR="007A3FE0">
              <w:t xml:space="preserve"> ved feber</w:t>
            </w:r>
            <w:r>
              <w:t>)</w:t>
            </w:r>
          </w:p>
          <w:p w14:paraId="18A7C7A0" w14:textId="094F8807" w:rsidR="005764EE" w:rsidRDefault="005764EE" w:rsidP="00CB6F8C">
            <w:pPr>
              <w:spacing w:after="120"/>
            </w:pPr>
            <w:r>
              <w:t>Derudover kræver det en særlig opmærksomhed, og formentlig ekstra måling af blodsukker, hvis borger:</w:t>
            </w:r>
          </w:p>
          <w:p w14:paraId="77A20676" w14:textId="62DF2492" w:rsidR="005764EE" w:rsidRDefault="005764EE" w:rsidP="007A3FE0">
            <w:pPr>
              <w:pStyle w:val="Listeafsnit"/>
              <w:numPr>
                <w:ilvl w:val="0"/>
                <w:numId w:val="36"/>
              </w:numPr>
            </w:pPr>
            <w:r>
              <w:t>Spiser mindre end vanligt</w:t>
            </w:r>
          </w:p>
          <w:p w14:paraId="1DDEC5B2" w14:textId="5A7710AA" w:rsidR="005764EE" w:rsidRDefault="005764EE" w:rsidP="007A3FE0">
            <w:pPr>
              <w:pStyle w:val="Listeafsnit"/>
              <w:numPr>
                <w:ilvl w:val="0"/>
                <w:numId w:val="36"/>
              </w:numPr>
            </w:pPr>
            <w:r>
              <w:t>Er mere fysisk aktiv end vanligt</w:t>
            </w:r>
          </w:p>
          <w:p w14:paraId="0A4282A5" w14:textId="77777777" w:rsidR="005764EE" w:rsidRDefault="005764EE" w:rsidP="007A3FE0">
            <w:pPr>
              <w:pStyle w:val="Listeafsnit"/>
              <w:numPr>
                <w:ilvl w:val="0"/>
                <w:numId w:val="36"/>
              </w:numPr>
            </w:pPr>
            <w:r>
              <w:t>Har indtaget mere alkohol eller flere rusmidler end vanligt</w:t>
            </w:r>
          </w:p>
          <w:p w14:paraId="66141309" w14:textId="6641FC3B" w:rsidR="005764EE" w:rsidRDefault="005764EE" w:rsidP="007A3FE0">
            <w:pPr>
              <w:pStyle w:val="Listeafsnit"/>
              <w:numPr>
                <w:ilvl w:val="0"/>
                <w:numId w:val="36"/>
              </w:numPr>
            </w:pPr>
            <w:r>
              <w:t xml:space="preserve">Hvis borger </w:t>
            </w:r>
            <w:r w:rsidR="007A3FE0">
              <w:t xml:space="preserve">har tendens til </w:t>
            </w:r>
            <w:r>
              <w:t>ikke</w:t>
            </w:r>
            <w:r w:rsidR="007A3FE0">
              <w:t xml:space="preserve"> at</w:t>
            </w:r>
            <w:r>
              <w:t xml:space="preserve"> m</w:t>
            </w:r>
            <w:r w:rsidR="007A3FE0">
              <w:t>æ</w:t>
            </w:r>
            <w:r>
              <w:t xml:space="preserve">rke eller udviser tegn </w:t>
            </w:r>
            <w:r w:rsidR="00B80E61">
              <w:t>på</w:t>
            </w:r>
            <w:r>
              <w:t xml:space="preserve"> lavt blodsukker (</w:t>
            </w:r>
            <w:proofErr w:type="spellStart"/>
            <w:r>
              <w:t>unawareness</w:t>
            </w:r>
            <w:proofErr w:type="spellEnd"/>
            <w:r>
              <w:t>)</w:t>
            </w:r>
          </w:p>
          <w:p w14:paraId="3ECC047E" w14:textId="6A4D7F77" w:rsidR="005764EE" w:rsidRDefault="005764EE" w:rsidP="007A3FE0">
            <w:pPr>
              <w:pStyle w:val="Listeafsnit"/>
              <w:numPr>
                <w:ilvl w:val="0"/>
                <w:numId w:val="36"/>
              </w:numPr>
            </w:pPr>
            <w:r>
              <w:t xml:space="preserve">Er i behandling med Binyrebarkhormon / </w:t>
            </w:r>
            <w:proofErr w:type="spellStart"/>
            <w:r>
              <w:t>Prednisolon</w:t>
            </w:r>
            <w:proofErr w:type="spellEnd"/>
            <w:r>
              <w:t xml:space="preserve"> (</w:t>
            </w:r>
            <w:r w:rsidR="007A3FE0">
              <w:t xml:space="preserve">kan medføre </w:t>
            </w:r>
            <w:proofErr w:type="spellStart"/>
            <w:r>
              <w:t>hyperglykæmi</w:t>
            </w:r>
            <w:proofErr w:type="spellEnd"/>
            <w:r>
              <w:t>)</w:t>
            </w:r>
          </w:p>
          <w:p w14:paraId="731B5D77" w14:textId="0B17CD3A" w:rsidR="005764EE" w:rsidRDefault="005764EE" w:rsidP="007A3FE0">
            <w:pPr>
              <w:pStyle w:val="Listeafsnit"/>
              <w:numPr>
                <w:ilvl w:val="0"/>
                <w:numId w:val="36"/>
              </w:numPr>
            </w:pPr>
            <w:r>
              <w:t>Mb Addison</w:t>
            </w:r>
            <w:r w:rsidR="007A3FE0">
              <w:t xml:space="preserve"> (binyrebark insufficiens) giver </w:t>
            </w:r>
            <w:r>
              <w:t>tendens til hypoglykæmi</w:t>
            </w:r>
          </w:p>
          <w:p w14:paraId="6CDF3E2C" w14:textId="1DCA9BEB" w:rsidR="005764EE" w:rsidRDefault="005764EE" w:rsidP="00CB6F8C">
            <w:pPr>
              <w:pStyle w:val="Listeafsnit"/>
              <w:numPr>
                <w:ilvl w:val="0"/>
                <w:numId w:val="36"/>
              </w:numPr>
              <w:spacing w:after="240"/>
            </w:pPr>
            <w:r>
              <w:t xml:space="preserve">Har ubehandlet </w:t>
            </w:r>
            <w:r w:rsidR="008A6299">
              <w:t>stofskiftesygdom</w:t>
            </w:r>
            <w:r>
              <w:t xml:space="preserve"> (for lavt eller for højt stofskifte)</w:t>
            </w:r>
          </w:p>
          <w:p w14:paraId="3FA87491" w14:textId="79858C8D" w:rsidR="00876BC4" w:rsidRDefault="005764EE" w:rsidP="00CB6F8C">
            <w:pPr>
              <w:spacing w:after="120"/>
            </w:pPr>
            <w:r>
              <w:t xml:space="preserve">Hvis det </w:t>
            </w:r>
            <w:r w:rsidR="00B80E61">
              <w:t>målte</w:t>
            </w:r>
            <w:r>
              <w:t xml:space="preserve"> blodsukker er uden for borgers habituelle område, følges planen fra lægen. Lægen eller den diabetes ansvarlige læge kontaktes, hvis planen mangler eller er uklar.</w:t>
            </w:r>
          </w:p>
        </w:tc>
      </w:tr>
      <w:tr w:rsidR="00312215" w:rsidRPr="00F52DB2" w14:paraId="12DAD2CA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134094" w14:textId="3020FF11" w:rsidR="00312215" w:rsidRPr="008733E2" w:rsidRDefault="00312215" w:rsidP="00312215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Ordination/Dokumentation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094A" w14:textId="7F0A400C" w:rsidR="00217F9D" w:rsidRDefault="007A3FE0" w:rsidP="00CB6F8C">
            <w:pPr>
              <w:spacing w:after="240"/>
              <w:jc w:val="left"/>
            </w:pPr>
            <w:r>
              <w:t>I sundhedsmodulet under problemområdet ernæring</w:t>
            </w:r>
            <w:r w:rsidR="00217F9D">
              <w:t xml:space="preserve"> og helbredstilstanden</w:t>
            </w:r>
            <w:r>
              <w:t xml:space="preserve"> </w:t>
            </w:r>
            <w:r w:rsidR="00217F9D" w:rsidRPr="00F84450">
              <w:rPr>
                <w:i/>
                <w:iCs/>
              </w:rPr>
              <w:t>Problemer med fødeindtag</w:t>
            </w:r>
            <w:r w:rsidR="00217F9D">
              <w:rPr>
                <w:i/>
                <w:iCs/>
              </w:rPr>
              <w:t xml:space="preserve">, </w:t>
            </w:r>
            <w:r w:rsidR="00217F9D">
              <w:t>do</w:t>
            </w:r>
            <w:r>
              <w:t>kumenteres årsag for borgerens behandling med insulin, plan samt aftale om opfølgning og kontrol med behandlingsansvarlig læge/sygehusafdeling.</w:t>
            </w:r>
          </w:p>
          <w:p w14:paraId="71ED4D90" w14:textId="4747FE8D" w:rsidR="007A3FE0" w:rsidRDefault="00217F9D" w:rsidP="00CB6F8C">
            <w:pPr>
              <w:spacing w:after="240"/>
              <w:jc w:val="left"/>
            </w:pPr>
            <w:r>
              <w:t>I helbredstilstanden beskrives desuden, hvis borger har tendens til lavt/ højt blodsukker, symptomer herpå samt aftaler for tiltag.</w:t>
            </w:r>
          </w:p>
          <w:p w14:paraId="54E63B36" w14:textId="77777777" w:rsidR="00217F9D" w:rsidRDefault="00217F9D" w:rsidP="00217F9D">
            <w:pPr>
              <w:jc w:val="left"/>
            </w:pPr>
            <w:r>
              <w:t xml:space="preserve">Desuden indsættes eventuel lægeordinerede tærskelværdier for, hvornår der skal reageres på lavt/højt blodsukker. </w:t>
            </w:r>
          </w:p>
          <w:p w14:paraId="35857229" w14:textId="2FFD3A2B" w:rsidR="00217F9D" w:rsidRPr="00947395" w:rsidRDefault="00217F9D" w:rsidP="00CB6F8C">
            <w:pPr>
              <w:spacing w:after="240"/>
              <w:jc w:val="left"/>
              <w:rPr>
                <w:b/>
                <w:bCs/>
              </w:rPr>
            </w:pPr>
            <w:r>
              <w:t xml:space="preserve">Blodsukkermålinger dokumenteres i </w:t>
            </w:r>
            <w:proofErr w:type="spellStart"/>
            <w:r>
              <w:t>Sensum</w:t>
            </w:r>
            <w:proofErr w:type="spellEnd"/>
            <w:r>
              <w:t xml:space="preserve"> bosted som dagbogsnotat under problemer med fødeindtag.</w:t>
            </w:r>
          </w:p>
          <w:p w14:paraId="09E8740D" w14:textId="20AD6062" w:rsidR="005546E4" w:rsidRDefault="005546E4" w:rsidP="00CB6F8C">
            <w:pPr>
              <w:spacing w:after="120"/>
              <w:jc w:val="left"/>
            </w:pPr>
            <w:r>
              <w:t xml:space="preserve">Med henblik på forebyggelse af komplikationer/senfølger er det </w:t>
            </w:r>
            <w:r w:rsidR="003E4A8B">
              <w:t xml:space="preserve">desuden </w:t>
            </w:r>
            <w:r>
              <w:t xml:space="preserve">vigtigt at </w:t>
            </w:r>
            <w:r w:rsidR="003E4A8B">
              <w:t xml:space="preserve">tage stilling til </w:t>
            </w:r>
            <w:r>
              <w:t>følgende problemområder:</w:t>
            </w:r>
          </w:p>
          <w:p w14:paraId="15138DDA" w14:textId="72682CBF" w:rsidR="005546E4" w:rsidRDefault="005546E4" w:rsidP="005546E4">
            <w:pPr>
              <w:pStyle w:val="Listeafsnit"/>
              <w:numPr>
                <w:ilvl w:val="0"/>
                <w:numId w:val="34"/>
              </w:numPr>
              <w:jc w:val="left"/>
            </w:pPr>
            <w:r>
              <w:t>Hud og slimhinder</w:t>
            </w:r>
          </w:p>
          <w:p w14:paraId="218986D6" w14:textId="2666E822" w:rsidR="005546E4" w:rsidRDefault="005546E4" w:rsidP="005546E4">
            <w:pPr>
              <w:pStyle w:val="Listeafsnit"/>
              <w:numPr>
                <w:ilvl w:val="1"/>
                <w:numId w:val="34"/>
              </w:numPr>
              <w:jc w:val="left"/>
            </w:pPr>
            <w:r>
              <w:t>Øget risiko for sår og infektioner</w:t>
            </w:r>
          </w:p>
          <w:p w14:paraId="6BCFAE2F" w14:textId="54E42BCE" w:rsidR="005546E4" w:rsidRDefault="005546E4" w:rsidP="005546E4">
            <w:pPr>
              <w:pStyle w:val="Listeafsnit"/>
              <w:numPr>
                <w:ilvl w:val="0"/>
                <w:numId w:val="34"/>
              </w:numPr>
              <w:jc w:val="left"/>
            </w:pPr>
            <w:r>
              <w:t>Respiration og cirkulation</w:t>
            </w:r>
          </w:p>
          <w:p w14:paraId="5071544D" w14:textId="456B61AE" w:rsidR="005546E4" w:rsidRDefault="005546E4" w:rsidP="005546E4">
            <w:pPr>
              <w:pStyle w:val="Listeafsnit"/>
              <w:numPr>
                <w:ilvl w:val="1"/>
                <w:numId w:val="34"/>
              </w:numPr>
              <w:jc w:val="left"/>
            </w:pPr>
            <w:r>
              <w:t>Nedsat perifer cirkulation</w:t>
            </w:r>
          </w:p>
          <w:p w14:paraId="438F337E" w14:textId="7D92BE41" w:rsidR="005546E4" w:rsidRDefault="005546E4" w:rsidP="005546E4">
            <w:pPr>
              <w:pStyle w:val="Listeafsnit"/>
              <w:numPr>
                <w:ilvl w:val="1"/>
                <w:numId w:val="34"/>
              </w:numPr>
              <w:jc w:val="left"/>
            </w:pPr>
            <w:r>
              <w:t>Øget risiko for hjerte/kar sygdomme</w:t>
            </w:r>
          </w:p>
          <w:p w14:paraId="7EA05688" w14:textId="69F3C5DE" w:rsidR="005546E4" w:rsidRDefault="005546E4" w:rsidP="005546E4">
            <w:pPr>
              <w:pStyle w:val="Listeafsnit"/>
              <w:numPr>
                <w:ilvl w:val="0"/>
                <w:numId w:val="34"/>
              </w:numPr>
              <w:jc w:val="left"/>
            </w:pPr>
            <w:r>
              <w:t>Smerter og sanseindtryk</w:t>
            </w:r>
          </w:p>
          <w:p w14:paraId="47FAD002" w14:textId="6368DCC3" w:rsidR="005546E4" w:rsidRDefault="005546E4" w:rsidP="005546E4">
            <w:pPr>
              <w:pStyle w:val="Listeafsnit"/>
              <w:numPr>
                <w:ilvl w:val="1"/>
                <w:numId w:val="34"/>
              </w:numPr>
              <w:jc w:val="left"/>
            </w:pPr>
            <w:r>
              <w:t>Syn</w:t>
            </w:r>
          </w:p>
          <w:p w14:paraId="48EA0F03" w14:textId="78EECCC7" w:rsidR="005546E4" w:rsidRDefault="005546E4" w:rsidP="005546E4">
            <w:pPr>
              <w:pStyle w:val="Listeafsnit"/>
              <w:numPr>
                <w:ilvl w:val="1"/>
                <w:numId w:val="34"/>
              </w:numPr>
              <w:jc w:val="left"/>
            </w:pPr>
            <w:r>
              <w:t xml:space="preserve">Nervepåvirkning – obs indflydelse på bevægeapparat </w:t>
            </w:r>
          </w:p>
          <w:p w14:paraId="79D0F5BF" w14:textId="7C32D4DE" w:rsidR="005546E4" w:rsidRDefault="005546E4" w:rsidP="005546E4">
            <w:pPr>
              <w:pStyle w:val="Listeafsnit"/>
              <w:numPr>
                <w:ilvl w:val="0"/>
                <w:numId w:val="34"/>
              </w:numPr>
              <w:jc w:val="left"/>
            </w:pPr>
            <w:r>
              <w:t>Viden og udvikling</w:t>
            </w:r>
          </w:p>
          <w:p w14:paraId="28A8095B" w14:textId="7B45750D" w:rsidR="00312215" w:rsidRDefault="005546E4" w:rsidP="00DB0791">
            <w:pPr>
              <w:pStyle w:val="Listeafsnit"/>
              <w:numPr>
                <w:ilvl w:val="1"/>
                <w:numId w:val="34"/>
              </w:numPr>
              <w:spacing w:after="240"/>
              <w:jc w:val="left"/>
            </w:pPr>
            <w:r>
              <w:t>Borgerens evne til at tage vare på egen sundhed samt varetagelse af opgaven/behov for understøttelse</w:t>
            </w:r>
          </w:p>
          <w:p w14:paraId="60B10064" w14:textId="77777777" w:rsidR="00312215" w:rsidRPr="00947395" w:rsidRDefault="00312215" w:rsidP="00312215">
            <w:pPr>
              <w:jc w:val="left"/>
              <w:rPr>
                <w:b/>
                <w:bCs/>
              </w:rPr>
            </w:pPr>
            <w:r w:rsidRPr="00947395">
              <w:rPr>
                <w:b/>
                <w:bCs/>
              </w:rPr>
              <w:t xml:space="preserve">Ordination af Insulin </w:t>
            </w:r>
          </w:p>
          <w:p w14:paraId="0168DFB0" w14:textId="77777777" w:rsidR="00312215" w:rsidRPr="00756A7E" w:rsidRDefault="00312215" w:rsidP="00312215">
            <w:pPr>
              <w:pStyle w:val="Listeafsnit"/>
              <w:numPr>
                <w:ilvl w:val="0"/>
                <w:numId w:val="20"/>
              </w:numPr>
              <w:spacing w:after="0"/>
              <w:jc w:val="left"/>
            </w:pPr>
            <w:r w:rsidRPr="00756A7E">
              <w:t xml:space="preserve">Læge ordinerer Insulin med afsæt i blodsukkerværdier </w:t>
            </w:r>
          </w:p>
          <w:p w14:paraId="2F5A10DF" w14:textId="32A879FF" w:rsidR="00312215" w:rsidRPr="00756A7E" w:rsidRDefault="00312215" w:rsidP="00DB0791">
            <w:pPr>
              <w:pStyle w:val="Listeafsnit"/>
              <w:numPr>
                <w:ilvl w:val="0"/>
                <w:numId w:val="20"/>
              </w:numPr>
              <w:spacing w:after="120"/>
              <w:jc w:val="left"/>
            </w:pPr>
            <w:r w:rsidRPr="00756A7E">
              <w:t xml:space="preserve">Sygeplejerske eller </w:t>
            </w:r>
            <w:proofErr w:type="spellStart"/>
            <w:r w:rsidRPr="00756A7E">
              <w:t>sosu</w:t>
            </w:r>
            <w:proofErr w:type="spellEnd"/>
            <w:r w:rsidRPr="00756A7E">
              <w:t xml:space="preserve">-assistent </w:t>
            </w:r>
            <w:r w:rsidR="00BF0652">
              <w:t xml:space="preserve">håndterer og </w:t>
            </w:r>
            <w:r w:rsidRPr="00756A7E">
              <w:t>modtager ordination fra lægen. Dette foregår som udgangspunkt via ordination i FMK</w:t>
            </w:r>
          </w:p>
          <w:p w14:paraId="2D45FBC1" w14:textId="5FB765A5" w:rsidR="00312215" w:rsidRDefault="00312215" w:rsidP="00312215">
            <w:pPr>
              <w:jc w:val="left"/>
            </w:pPr>
            <w:r>
              <w:t>Langsomt virkende insulin</w:t>
            </w:r>
          </w:p>
          <w:p w14:paraId="237A88D1" w14:textId="085D8B7B" w:rsidR="00312215" w:rsidRDefault="00312215" w:rsidP="00DB0791">
            <w:pPr>
              <w:pStyle w:val="Listeafsnit"/>
              <w:numPr>
                <w:ilvl w:val="0"/>
                <w:numId w:val="21"/>
              </w:numPr>
              <w:spacing w:after="120"/>
              <w:jc w:val="left"/>
            </w:pPr>
            <w:r w:rsidRPr="00756A7E">
              <w:t>Der vil oftest være en fast ordination</w:t>
            </w:r>
          </w:p>
          <w:p w14:paraId="2EDF7E30" w14:textId="77777777" w:rsidR="00312215" w:rsidRDefault="00312215" w:rsidP="00312215">
            <w:pPr>
              <w:jc w:val="left"/>
            </w:pPr>
            <w:r>
              <w:t xml:space="preserve">Hurtigtvirkende insulin </w:t>
            </w:r>
          </w:p>
          <w:p w14:paraId="4EF8BD1F" w14:textId="77777777" w:rsidR="00312215" w:rsidRPr="00756A7E" w:rsidRDefault="00312215" w:rsidP="00312215">
            <w:pPr>
              <w:pStyle w:val="Listeafsnit"/>
              <w:numPr>
                <w:ilvl w:val="0"/>
                <w:numId w:val="21"/>
              </w:numPr>
              <w:spacing w:after="0"/>
              <w:jc w:val="left"/>
            </w:pPr>
            <w:r w:rsidRPr="00756A7E">
              <w:t xml:space="preserve">Gives oftest med afsæt i en blodsukkermåling </w:t>
            </w:r>
          </w:p>
          <w:p w14:paraId="1BA1377F" w14:textId="07BCA3A3" w:rsidR="00312215" w:rsidRPr="000E5946" w:rsidRDefault="00312215" w:rsidP="00DB0791">
            <w:pPr>
              <w:pStyle w:val="Listeafsnit"/>
              <w:numPr>
                <w:ilvl w:val="0"/>
                <w:numId w:val="21"/>
              </w:numPr>
              <w:spacing w:after="120"/>
              <w:jc w:val="left"/>
            </w:pPr>
            <w:r w:rsidRPr="00756A7E">
              <w:t>Under præparatet i FMK beskrives den konkrete behandlingsplan, fx der skal gives x enheder ved blodsukker over x mmol</w:t>
            </w:r>
          </w:p>
        </w:tc>
      </w:tr>
      <w:tr w:rsidR="008733E2" w:rsidRPr="00F52DB2" w14:paraId="6D796E68" w14:textId="77777777" w:rsidTr="00380E17">
        <w:trPr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395D4D" w14:textId="5EF0E835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Bivirkninger</w:t>
            </w:r>
            <w:r w:rsidR="00BF0652">
              <w:rPr>
                <w:b/>
                <w:bCs/>
              </w:rPr>
              <w:t xml:space="preserve"> ved insulin injektion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8D07" w14:textId="1A5BB243" w:rsidR="00943EE5" w:rsidRPr="000E5946" w:rsidRDefault="008733E2" w:rsidP="00943EE5">
            <w:pPr>
              <w:spacing w:after="120"/>
              <w:jc w:val="left"/>
            </w:pPr>
            <w:r w:rsidRPr="000E5946">
              <w:t>Der skelnes mellem følgende typer af bivirkninger:</w:t>
            </w:r>
          </w:p>
          <w:p w14:paraId="3ECC2BFD" w14:textId="77777777" w:rsidR="008733E2" w:rsidRPr="00756A7E" w:rsidRDefault="008733E2" w:rsidP="00943EE5">
            <w:pPr>
              <w:jc w:val="left"/>
            </w:pPr>
            <w:r w:rsidRPr="00756A7E">
              <w:t xml:space="preserve">Bivirkninger, som er betinget af insulinets fysiologiske virkning </w:t>
            </w:r>
          </w:p>
          <w:p w14:paraId="1994C766" w14:textId="77777777" w:rsidR="00943EE5" w:rsidRDefault="008733E2" w:rsidP="00943EE5">
            <w:pPr>
              <w:pStyle w:val="Listeafsnit"/>
              <w:numPr>
                <w:ilvl w:val="0"/>
                <w:numId w:val="14"/>
              </w:numPr>
              <w:spacing w:after="120"/>
              <w:jc w:val="left"/>
            </w:pPr>
            <w:r w:rsidRPr="00756A7E">
              <w:t>Hypoglykæmi, synsforstyrrelser i øjet med tågesyn eller besvær med at læse samt ødemer, der er forbigående af dages varighed</w:t>
            </w:r>
          </w:p>
          <w:p w14:paraId="2004922A" w14:textId="7F58A14C" w:rsidR="008733E2" w:rsidRPr="000E5946" w:rsidRDefault="008733E2" w:rsidP="00943EE5">
            <w:pPr>
              <w:pStyle w:val="Listeafsnit"/>
              <w:numPr>
                <w:ilvl w:val="0"/>
                <w:numId w:val="14"/>
              </w:numPr>
              <w:spacing w:after="120"/>
              <w:jc w:val="left"/>
            </w:pPr>
            <w:r w:rsidRPr="003B4403">
              <w:t xml:space="preserve">Symptomerne </w:t>
            </w:r>
            <w:r w:rsidR="00BF0652">
              <w:t xml:space="preserve">kan </w:t>
            </w:r>
            <w:r w:rsidRPr="003B4403">
              <w:t>udvikler sig med forskellig hastighed med mathed, svimmelhed, svigtende koncentrationsevne, koldsved, varmefølelse, kuldefornemmelse, indre uro, fjernhed, sultfølelse, p</w:t>
            </w:r>
            <w:r>
              <w:t>rikkende/stikkende fornemmelse i hænder og/eller fødder</w:t>
            </w:r>
            <w:r w:rsidRPr="003B4403">
              <w:t xml:space="preserve">, motorisk uro, </w:t>
            </w:r>
            <w:r>
              <w:t>rysten</w:t>
            </w:r>
            <w:r w:rsidRPr="003B4403">
              <w:t xml:space="preserve">, indre "skælven", hovedpine, </w:t>
            </w:r>
            <w:r>
              <w:t>hjertebanken, svimmelhed</w:t>
            </w:r>
            <w:r w:rsidRPr="003B4403">
              <w:t xml:space="preserve"> og evt. angina pectoris-anfald. Kan være ledsaget af dobbeltsyn, ukoordineret tale, evt. afasi og parese.</w:t>
            </w:r>
            <w:r w:rsidR="00943EE5">
              <w:t xml:space="preserve"> </w:t>
            </w:r>
            <w:r w:rsidRPr="003B4403">
              <w:t>Patienterne kan virke berusede og agiterede</w:t>
            </w:r>
            <w:r>
              <w:t xml:space="preserve"> (manglende emotionel kontrol)</w:t>
            </w:r>
            <w:r w:rsidRPr="003B4403">
              <w:t xml:space="preserve">. </w:t>
            </w:r>
            <w:proofErr w:type="gramStart"/>
            <w:r w:rsidRPr="003B4403">
              <w:t>Endvidere</w:t>
            </w:r>
            <w:proofErr w:type="gramEnd"/>
            <w:r w:rsidRPr="003B4403">
              <w:t xml:space="preserve"> kan ses mani, kramper og bevidstløshed.</w:t>
            </w:r>
          </w:p>
          <w:p w14:paraId="6A68189E" w14:textId="77777777" w:rsidR="008733E2" w:rsidRPr="000E5946" w:rsidRDefault="008733E2" w:rsidP="00B45E1D">
            <w:pPr>
              <w:jc w:val="left"/>
            </w:pPr>
            <w:r w:rsidRPr="000E5946">
              <w:t xml:space="preserve">Lokale bivirkninger </w:t>
            </w:r>
          </w:p>
          <w:p w14:paraId="36854A8D" w14:textId="77777777" w:rsidR="008733E2" w:rsidRPr="00756A7E" w:rsidRDefault="008733E2" w:rsidP="008733E2">
            <w:pPr>
              <w:pStyle w:val="Listeafsnit"/>
              <w:numPr>
                <w:ilvl w:val="0"/>
                <w:numId w:val="15"/>
              </w:numPr>
              <w:spacing w:after="240"/>
              <w:jc w:val="left"/>
            </w:pPr>
            <w:r w:rsidRPr="00756A7E">
              <w:t>Fortykninger/insulinpuder kan opstå, hvis insulin injiceres samme sted for mange gange i træk. Det kan desuden have betydning for, hvordan insulinen optages.</w:t>
            </w:r>
          </w:p>
          <w:p w14:paraId="3289E54E" w14:textId="77777777" w:rsidR="008733E2" w:rsidRPr="000E5946" w:rsidRDefault="008733E2" w:rsidP="00B45E1D">
            <w:pPr>
              <w:jc w:val="left"/>
            </w:pPr>
            <w:r w:rsidRPr="000E5946">
              <w:t xml:space="preserve">Insulin-antistofdannelse </w:t>
            </w:r>
          </w:p>
          <w:p w14:paraId="6F2EB242" w14:textId="77777777" w:rsidR="008733E2" w:rsidRPr="00756A7E" w:rsidRDefault="008733E2" w:rsidP="00DB0791">
            <w:pPr>
              <w:pStyle w:val="Listeafsnit"/>
              <w:numPr>
                <w:ilvl w:val="0"/>
                <w:numId w:val="15"/>
              </w:numPr>
              <w:spacing w:after="120"/>
              <w:jc w:val="left"/>
            </w:pPr>
            <w:r w:rsidRPr="00756A7E">
              <w:t>Insulinantistofferne har formentlig ringe klinisk betydning, men de kan i sjældne tilfælde føre til insulinresistens</w:t>
            </w:r>
          </w:p>
        </w:tc>
      </w:tr>
      <w:tr w:rsidR="008733E2" w:rsidRPr="00F52DB2" w14:paraId="28C527DC" w14:textId="77777777" w:rsidTr="00380E17">
        <w:trPr>
          <w:trHeight w:val="1022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68D834A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Litteraturreferencer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2A34B" w14:textId="77777777" w:rsidR="008733E2" w:rsidRDefault="008733E2" w:rsidP="00B45E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20B0">
              <w:rPr>
                <w:rFonts w:ascii="Arial" w:hAnsi="Arial" w:cs="Arial"/>
                <w:sz w:val="22"/>
                <w:szCs w:val="22"/>
              </w:rPr>
              <w:t xml:space="preserve">Vejledning om ordination og håndtering af lægemidler, VEJ </w:t>
            </w:r>
            <w:proofErr w:type="spellStart"/>
            <w:r w:rsidRPr="003520B0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3520B0">
              <w:rPr>
                <w:rFonts w:ascii="Arial" w:hAnsi="Arial" w:cs="Arial"/>
                <w:sz w:val="22"/>
                <w:szCs w:val="22"/>
              </w:rPr>
              <w:t xml:space="preserve"> 9079 af 12/02/2015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0" w:history="1">
              <w:r w:rsidRPr="00021FDD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https://www.retsinformation.dk/eli/retsinfo/2015/9079</w:t>
              </w:r>
            </w:hyperlink>
          </w:p>
          <w:p w14:paraId="406F664A" w14:textId="77777777" w:rsidR="008733E2" w:rsidRDefault="008733E2" w:rsidP="00B45E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CB3E9E5" w14:textId="77777777" w:rsidR="008733E2" w:rsidRDefault="008733E2" w:rsidP="00B45E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20B0">
              <w:rPr>
                <w:rFonts w:ascii="Arial" w:hAnsi="Arial" w:cs="Arial"/>
                <w:sz w:val="22"/>
                <w:szCs w:val="22"/>
              </w:rPr>
              <w:t xml:space="preserve">Vejledning om autoriserede sundhedspersoners benyttelse af medhjælp, VEJ </w:t>
            </w:r>
            <w:proofErr w:type="spellStart"/>
            <w:r w:rsidRPr="003520B0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3520B0">
              <w:rPr>
                <w:rFonts w:ascii="Arial" w:hAnsi="Arial" w:cs="Arial"/>
                <w:sz w:val="22"/>
                <w:szCs w:val="22"/>
              </w:rPr>
              <w:t xml:space="preserve"> 115 af 11/12/2009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1" w:history="1">
              <w:r w:rsidRPr="00021FDD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https://www.retsinformation.dk/eli/mt/2009/115</w:t>
              </w:r>
            </w:hyperlink>
          </w:p>
          <w:p w14:paraId="6D20B4D4" w14:textId="77777777" w:rsidR="008733E2" w:rsidRDefault="008733E2" w:rsidP="00B45E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AC62387" w14:textId="77777777" w:rsidR="008733E2" w:rsidRDefault="008733E2" w:rsidP="00B45E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20B0">
              <w:rPr>
                <w:rFonts w:ascii="Arial" w:hAnsi="Arial" w:cs="Arial"/>
                <w:sz w:val="22"/>
                <w:szCs w:val="22"/>
              </w:rPr>
              <w:t xml:space="preserve">Bekendtgørelse om recepter og dosisdispensering af lægemidler, BEK </w:t>
            </w:r>
            <w:proofErr w:type="spellStart"/>
            <w:r w:rsidRPr="003520B0"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  <w:r w:rsidRPr="003520B0">
              <w:rPr>
                <w:rFonts w:ascii="Arial" w:hAnsi="Arial" w:cs="Arial"/>
                <w:sz w:val="22"/>
                <w:szCs w:val="22"/>
              </w:rPr>
              <w:t xml:space="preserve"> 1108 af 29/09/2017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2" w:history="1">
              <w:r w:rsidRPr="00021FDD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https://www.retsinformation.dk/eli/lta/2018/1654</w:t>
              </w:r>
            </w:hyperlink>
          </w:p>
          <w:p w14:paraId="3E4DA4EB" w14:textId="77777777" w:rsidR="008733E2" w:rsidRDefault="008733E2" w:rsidP="00B45E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43BCB206" w14:textId="77777777" w:rsidR="008733E2" w:rsidRDefault="008733E2" w:rsidP="00B45E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20B0">
              <w:rPr>
                <w:rFonts w:ascii="Arial" w:hAnsi="Arial" w:cs="Arial"/>
                <w:sz w:val="22"/>
                <w:szCs w:val="22"/>
              </w:rPr>
              <w:t>Dokumentation i forbindelse med dosisdispensering, Sundhedsstyrelsens notat 28. marts 2011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3" w:history="1">
              <w:r w:rsidRPr="00021FDD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https://laegemiddelstyrelsen.dk/da/apoteker/apoteker/dosisdispensering/~/media/F1C2137A74E04376A1623546D18B7F39.ashx</w:t>
              </w:r>
            </w:hyperlink>
          </w:p>
          <w:p w14:paraId="3906642D" w14:textId="77777777" w:rsidR="008733E2" w:rsidRDefault="008733E2" w:rsidP="00B45E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453DDD93" w14:textId="77777777" w:rsidR="008733E2" w:rsidRDefault="008733E2" w:rsidP="00B45E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20B0">
              <w:rPr>
                <w:rFonts w:ascii="Arial" w:hAnsi="Arial" w:cs="Arial"/>
                <w:sz w:val="22"/>
                <w:szCs w:val="22"/>
              </w:rPr>
              <w:t xml:space="preserve">Ophævelse af vejledning til hjemmesygeplejeordninger om behandling af akut allergisk </w:t>
            </w:r>
            <w:proofErr w:type="spellStart"/>
            <w:r w:rsidRPr="003520B0">
              <w:rPr>
                <w:rFonts w:ascii="Arial" w:hAnsi="Arial" w:cs="Arial"/>
                <w:sz w:val="22"/>
                <w:szCs w:val="22"/>
              </w:rPr>
              <w:t>shock</w:t>
            </w:r>
            <w:proofErr w:type="spellEnd"/>
            <w:r w:rsidRPr="003520B0">
              <w:rPr>
                <w:rFonts w:ascii="Arial" w:hAnsi="Arial" w:cs="Arial"/>
                <w:sz w:val="22"/>
                <w:szCs w:val="22"/>
              </w:rPr>
              <w:t xml:space="preserve"> med injektion af adrenalin, 04-07-2017 </w:t>
            </w:r>
            <w:hyperlink r:id="rId14" w:history="1">
              <w:r w:rsidRPr="00021FDD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https://www.sst.dk/da/udgivelser/2017/~/media/5A39FD04712D4917B0E9730850636438.ashx</w:t>
              </w:r>
            </w:hyperlink>
          </w:p>
          <w:p w14:paraId="716A3853" w14:textId="77777777" w:rsidR="008733E2" w:rsidRDefault="008733E2" w:rsidP="00B45E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2FFC5E3" w14:textId="77777777" w:rsidR="008733E2" w:rsidRDefault="008733E2" w:rsidP="00B45E1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3520B0">
              <w:rPr>
                <w:rFonts w:ascii="Arial" w:hAnsi="Arial" w:cs="Arial"/>
                <w:sz w:val="22"/>
                <w:szCs w:val="22"/>
              </w:rPr>
              <w:t>”Medicinskaffald skal afleveres på apoteket – ikke i skraldespanden” pjece fra Apotek link: Apotekets brochure om medicinaffald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5" w:history="1">
              <w:r w:rsidRPr="00021FDD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https://www.apoteket.dk/-/media/brochure/medicinaffald/medicinaffald-folder.pdf</w:t>
              </w:r>
            </w:hyperlink>
          </w:p>
          <w:p w14:paraId="79574125" w14:textId="77777777" w:rsidR="008733E2" w:rsidRDefault="008733E2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</w:p>
          <w:p w14:paraId="236B24AD" w14:textId="77777777" w:rsidR="008733E2" w:rsidRDefault="008733E2" w:rsidP="00B45E1D">
            <w:pPr>
              <w:autoSpaceDE w:val="0"/>
              <w:autoSpaceDN w:val="0"/>
              <w:adjustRightInd w:val="0"/>
              <w:jc w:val="left"/>
              <w:rPr>
                <w:rFonts w:cs="Calibri"/>
              </w:rPr>
            </w:pPr>
            <w:r w:rsidRPr="000E5946">
              <w:rPr>
                <w:rFonts w:cs="Calibri"/>
              </w:rPr>
              <w:t xml:space="preserve">Risikosituationslægemidler </w:t>
            </w:r>
          </w:p>
          <w:p w14:paraId="79861AF5" w14:textId="6908E4A4" w:rsidR="008733E2" w:rsidRPr="00242CFD" w:rsidRDefault="008733E2" w:rsidP="00DB0791">
            <w:pPr>
              <w:pStyle w:val="Listeafsni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cs="Calibri"/>
              </w:rPr>
            </w:pPr>
            <w:r w:rsidRPr="00756A7E">
              <w:rPr>
                <w:rFonts w:eastAsia="Times New Roman" w:cs="Calibri"/>
              </w:rPr>
              <w:t>Styrelsen for patientsikkerhed</w:t>
            </w:r>
            <w:r>
              <w:rPr>
                <w:rFonts w:cs="Calibri"/>
              </w:rPr>
              <w:t xml:space="preserve"> </w:t>
            </w:r>
            <w:hyperlink r:id="rId16" w:history="1">
              <w:r w:rsidRPr="00021FDD">
                <w:rPr>
                  <w:rStyle w:val="Hyperlink"/>
                  <w:rFonts w:cs="Calibri"/>
                </w:rPr>
                <w:t>https://stps.dk/da/laering/risikoomraader/risikosituationslaegemidler/</w:t>
              </w:r>
            </w:hyperlink>
            <w:r w:rsidRPr="00242CFD">
              <w:rPr>
                <w:rFonts w:cs="Calibri"/>
              </w:rPr>
              <w:t xml:space="preserve"> </w:t>
            </w:r>
          </w:p>
        </w:tc>
      </w:tr>
      <w:tr w:rsidR="008733E2" w:rsidRPr="00F52DB2" w14:paraId="0C4F4872" w14:textId="77777777" w:rsidTr="00380E17">
        <w:trPr>
          <w:trHeight w:val="1022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E96EA54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Supplerende litteratur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87653" w14:textId="77777777" w:rsidR="008733E2" w:rsidRPr="00756A7E" w:rsidRDefault="008733E2" w:rsidP="00B45E1D">
            <w:pPr>
              <w:jc w:val="left"/>
              <w:rPr>
                <w:rFonts w:ascii="Calibri" w:eastAsia="Calibri" w:hAnsi="Calibri" w:cs="Calibri"/>
                <w:color w:val="auto"/>
              </w:rPr>
            </w:pPr>
            <w:r>
              <w:t xml:space="preserve">Administration af insulin med </w:t>
            </w:r>
            <w:proofErr w:type="spellStart"/>
            <w:r>
              <w:t>insulinpen</w:t>
            </w:r>
            <w:proofErr w:type="spellEnd"/>
            <w:r>
              <w:t xml:space="preserve"> </w:t>
            </w:r>
            <w:hyperlink r:id="rId17" w:history="1">
              <w:r w:rsidRPr="00021FDD">
                <w:rPr>
                  <w:rStyle w:val="Hyperlink"/>
                </w:rPr>
                <w:t>https://www.varportal.dk/portal/procedure/9946/</w:t>
              </w:r>
            </w:hyperlink>
          </w:p>
          <w:p w14:paraId="4FD037E0" w14:textId="77777777" w:rsidR="008733E2" w:rsidRDefault="008733E2" w:rsidP="00B45E1D">
            <w:pPr>
              <w:jc w:val="left"/>
            </w:pPr>
          </w:p>
          <w:p w14:paraId="4C9F09FF" w14:textId="1538562D" w:rsidR="008733E2" w:rsidRPr="008031E1" w:rsidRDefault="008733E2" w:rsidP="00DB0791">
            <w:pPr>
              <w:spacing w:after="120"/>
              <w:jc w:val="left"/>
              <w:rPr>
                <w:rFonts w:cs="Calibri"/>
              </w:rPr>
            </w:pPr>
            <w:r>
              <w:t xml:space="preserve">Blodglukosemåling </w:t>
            </w:r>
            <w:hyperlink r:id="rId18" w:history="1">
              <w:r w:rsidRPr="00021FDD">
                <w:rPr>
                  <w:rStyle w:val="Hyperlink"/>
                </w:rPr>
                <w:t>https://www.varportal.dk/portal/procedure/9655/</w:t>
              </w:r>
            </w:hyperlink>
          </w:p>
        </w:tc>
      </w:tr>
      <w:tr w:rsidR="008733E2" w:rsidRPr="00F52DB2" w14:paraId="21ED49BB" w14:textId="77777777" w:rsidTr="00380E17">
        <w:trPr>
          <w:trHeight w:val="1022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89AE87F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Udarbejdet den:</w:t>
            </w:r>
          </w:p>
          <w:p w14:paraId="49D63AFC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</w:p>
          <w:p w14:paraId="3AA1B023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Udarbejdet af:</w:t>
            </w:r>
          </w:p>
          <w:p w14:paraId="67EEF957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</w:p>
          <w:p w14:paraId="55E07B83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Sidst revideret:</w:t>
            </w:r>
          </w:p>
          <w:p w14:paraId="1FEF2290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</w:p>
          <w:p w14:paraId="340DBD37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Revideres inden:</w:t>
            </w:r>
          </w:p>
          <w:p w14:paraId="0E20A4BA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</w:p>
          <w:p w14:paraId="155C1A76" w14:textId="77777777" w:rsidR="008733E2" w:rsidRPr="008733E2" w:rsidRDefault="008733E2" w:rsidP="00B45E1D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Godkendt af: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FDEC3" w14:textId="77777777" w:rsidR="008733E2" w:rsidRDefault="008733E2" w:rsidP="00B45E1D">
            <w:pPr>
              <w:jc w:val="left"/>
            </w:pPr>
            <w:r>
              <w:t>April 2023</w:t>
            </w:r>
          </w:p>
          <w:p w14:paraId="23C193AB" w14:textId="77777777" w:rsidR="008733E2" w:rsidRDefault="008733E2" w:rsidP="00B45E1D">
            <w:pPr>
              <w:jc w:val="left"/>
            </w:pPr>
          </w:p>
          <w:p w14:paraId="544ABCC5" w14:textId="77777777" w:rsidR="008733E2" w:rsidRPr="00FF0EB0" w:rsidRDefault="008733E2" w:rsidP="00B45E1D">
            <w:pPr>
              <w:jc w:val="left"/>
            </w:pPr>
            <w:r>
              <w:t xml:space="preserve">Anne Skov kvalitetssygeplejerske og Ghita </w:t>
            </w:r>
            <w:r w:rsidRPr="00FF0EB0">
              <w:t xml:space="preserve">Steenholt, </w:t>
            </w:r>
            <w:r>
              <w:t>Cand. Cur.</w:t>
            </w:r>
          </w:p>
          <w:p w14:paraId="5238AD81" w14:textId="77777777" w:rsidR="008733E2" w:rsidRDefault="008733E2" w:rsidP="00B45E1D">
            <w:pPr>
              <w:jc w:val="left"/>
            </w:pPr>
          </w:p>
          <w:p w14:paraId="636502D5" w14:textId="27A6FA17" w:rsidR="008733E2" w:rsidRDefault="00DB0791" w:rsidP="00B45E1D">
            <w:pPr>
              <w:jc w:val="left"/>
            </w:pPr>
            <w:r>
              <w:t>August 2023</w:t>
            </w:r>
          </w:p>
          <w:p w14:paraId="352A7E78" w14:textId="77777777" w:rsidR="008733E2" w:rsidRDefault="008733E2" w:rsidP="00B45E1D">
            <w:pPr>
              <w:jc w:val="left"/>
            </w:pPr>
          </w:p>
          <w:p w14:paraId="3A429A4F" w14:textId="07ED307C" w:rsidR="008733E2" w:rsidRDefault="008733E2" w:rsidP="00B45E1D">
            <w:pPr>
              <w:jc w:val="left"/>
            </w:pPr>
            <w:r w:rsidRPr="00FF0EB0">
              <w:t xml:space="preserve">Revideres efter behov og senest </w:t>
            </w:r>
            <w:r>
              <w:t>a</w:t>
            </w:r>
            <w:r w:rsidR="00DB0791">
              <w:t>ugust</w:t>
            </w:r>
            <w:r w:rsidRPr="00FF0EB0">
              <w:t xml:space="preserve"> 20</w:t>
            </w:r>
            <w:r>
              <w:t>25.</w:t>
            </w:r>
          </w:p>
          <w:p w14:paraId="2826A4F0" w14:textId="77777777" w:rsidR="008733E2" w:rsidRDefault="008733E2" w:rsidP="00B45E1D">
            <w:pPr>
              <w:jc w:val="left"/>
            </w:pPr>
          </w:p>
          <w:p w14:paraId="6D9255AA" w14:textId="2D4EB3B9" w:rsidR="008733E2" w:rsidRPr="00F52DB2" w:rsidRDefault="008733E2" w:rsidP="00DB0791">
            <w:pPr>
              <w:spacing w:after="120"/>
              <w:jc w:val="left"/>
            </w:pPr>
            <w:r w:rsidRPr="00A3719F">
              <w:t xml:space="preserve">Centerledergruppen og </w:t>
            </w:r>
            <w:r>
              <w:t>S</w:t>
            </w:r>
            <w:r w:rsidRPr="00A3719F">
              <w:t>ocialchefen</w:t>
            </w:r>
          </w:p>
        </w:tc>
      </w:tr>
    </w:tbl>
    <w:p w14:paraId="27323EDC" w14:textId="77777777" w:rsidR="008733E2" w:rsidRDefault="008733E2" w:rsidP="008733E2">
      <w:pPr>
        <w:spacing w:after="160" w:line="22" w:lineRule="auto"/>
        <w:jc w:val="left"/>
      </w:pPr>
      <w:r>
        <w:br w:type="page"/>
      </w:r>
    </w:p>
    <w:p w14:paraId="67588DA8" w14:textId="5918DE9F" w:rsidR="008733E2" w:rsidRDefault="000B28AA" w:rsidP="008733E2">
      <w:pPr>
        <w:spacing w:after="160" w:line="22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215540" wp14:editId="563956FC">
                <wp:simplePos x="0" y="0"/>
                <wp:positionH relativeFrom="column">
                  <wp:posOffset>1945758</wp:posOffset>
                </wp:positionH>
                <wp:positionV relativeFrom="paragraph">
                  <wp:posOffset>7873660</wp:posOffset>
                </wp:positionV>
                <wp:extent cx="2498651" cy="318977"/>
                <wp:effectExtent l="0" t="0" r="16510" b="24130"/>
                <wp:wrapNone/>
                <wp:docPr id="3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651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0A12F" id="Rektangel 3" o:spid="_x0000_s1026" alt="&quot;&quot;" style="position:absolute;margin-left:153.2pt;margin-top:619.95pt;width:196.75pt;height:25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" fillcolor="white [3212]" strokecolor="white [3212]" strokeweight="1pt"/>
            </w:pict>
          </mc:Fallback>
        </mc:AlternateContent>
      </w:r>
      <w:r w:rsidR="008733E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65285D" wp14:editId="5C975CD4">
                <wp:simplePos x="0" y="0"/>
                <wp:positionH relativeFrom="margin">
                  <wp:posOffset>228600</wp:posOffset>
                </wp:positionH>
                <wp:positionV relativeFrom="paragraph">
                  <wp:posOffset>1970405</wp:posOffset>
                </wp:positionV>
                <wp:extent cx="5715000" cy="361950"/>
                <wp:effectExtent l="0" t="0" r="19050" b="19050"/>
                <wp:wrapNone/>
                <wp:docPr id="18" name="Tekstfelt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54CCB" w14:textId="77777777" w:rsidR="008733E2" w:rsidRDefault="008733E2" w:rsidP="008733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5285D" id="_x0000_t202" coordsize="21600,21600" o:spt="202" path="m,l,21600r21600,l21600,xe">
                <v:stroke joinstyle="miter"/>
                <v:path gradientshapeok="t" o:connecttype="rect"/>
              </v:shapetype>
              <v:shape id="Tekstfelt 18" o:spid="_x0000_s1026" type="#_x0000_t202" alt="&quot;&quot;" style="position:absolute;margin-left:18pt;margin-top:155.15pt;width:450pt;height:2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" strokecolor="window">
                <v:textbox>
                  <w:txbxContent>
                    <w:p w14:paraId="31A54CCB" w14:textId="77777777" w:rsidR="008733E2" w:rsidRDefault="008733E2" w:rsidP="008733E2"/>
                  </w:txbxContent>
                </v:textbox>
                <w10:wrap anchorx="margin"/>
              </v:shape>
            </w:pict>
          </mc:Fallback>
        </mc:AlternateContent>
      </w:r>
      <w:r w:rsidR="008733E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CA2F74" wp14:editId="5E65FFAA">
                <wp:simplePos x="0" y="0"/>
                <wp:positionH relativeFrom="column">
                  <wp:posOffset>1924050</wp:posOffset>
                </wp:positionH>
                <wp:positionV relativeFrom="paragraph">
                  <wp:posOffset>8152130</wp:posOffset>
                </wp:positionV>
                <wp:extent cx="2643505" cy="333375"/>
                <wp:effectExtent l="0" t="0" r="27940" b="28575"/>
                <wp:wrapNone/>
                <wp:docPr id="17" name="Tekstfelt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DD341" w14:textId="77777777" w:rsidR="008733E2" w:rsidRDefault="008733E2" w:rsidP="008733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2F74" id="Tekstfelt 17" o:spid="_x0000_s1027" type="#_x0000_t202" alt="&quot;&quot;" style="position:absolute;margin-left:151.5pt;margin-top:641.9pt;width:208.15pt;height:26.2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" strokecolor="window">
                <v:textbox>
                  <w:txbxContent>
                    <w:p w14:paraId="1D1DD341" w14:textId="77777777" w:rsidR="008733E2" w:rsidRDefault="008733E2" w:rsidP="008733E2"/>
                  </w:txbxContent>
                </v:textbox>
              </v:shape>
            </w:pict>
          </mc:Fallback>
        </mc:AlternateContent>
      </w:r>
      <w:r w:rsidR="008733E2" w:rsidRPr="0069530D">
        <w:rPr>
          <w:noProof/>
        </w:rPr>
        <w:drawing>
          <wp:inline distT="0" distB="0" distL="0" distR="0" wp14:anchorId="00DCB702" wp14:editId="15B8E2FE">
            <wp:extent cx="6645910" cy="8728710"/>
            <wp:effectExtent l="0" t="0" r="2540" b="0"/>
            <wp:docPr id="10" name="Billed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2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8DA2" w14:textId="77777777" w:rsidR="008733E2" w:rsidRDefault="008733E2" w:rsidP="008733E2"/>
    <w:p w14:paraId="4D79F16D" w14:textId="77777777" w:rsidR="008733E2" w:rsidRPr="00023469" w:rsidRDefault="008733E2" w:rsidP="008733E2"/>
    <w:p w14:paraId="5A2FC08E" w14:textId="77777777" w:rsidR="008733E2" w:rsidRDefault="008733E2" w:rsidP="008733E2">
      <w:pPr>
        <w:jc w:val="center"/>
        <w:rPr>
          <w:b/>
          <w:bCs/>
          <w:sz w:val="32"/>
          <w:szCs w:val="32"/>
        </w:rPr>
      </w:pPr>
      <w:proofErr w:type="spellStart"/>
      <w:r w:rsidRPr="00BD5751">
        <w:rPr>
          <w:b/>
          <w:bCs/>
          <w:sz w:val="32"/>
          <w:szCs w:val="32"/>
        </w:rPr>
        <w:t>Insulingivning</w:t>
      </w:r>
      <w:proofErr w:type="spellEnd"/>
      <w:r w:rsidRPr="00BD5751">
        <w:rPr>
          <w:b/>
          <w:bCs/>
          <w:sz w:val="32"/>
          <w:szCs w:val="32"/>
        </w:rPr>
        <w:t>, diabetes – mave</w:t>
      </w:r>
    </w:p>
    <w:p w14:paraId="74FAFF3E" w14:textId="77777777" w:rsidR="008733E2" w:rsidRPr="00BD5751" w:rsidRDefault="008733E2" w:rsidP="008733E2">
      <w:pPr>
        <w:jc w:val="center"/>
        <w:rPr>
          <w:b/>
          <w:bCs/>
          <w:sz w:val="32"/>
          <w:szCs w:val="32"/>
        </w:rPr>
      </w:pPr>
    </w:p>
    <w:p w14:paraId="5C1EF0CC" w14:textId="77777777" w:rsidR="008733E2" w:rsidRPr="00BD5751" w:rsidRDefault="008733E2" w:rsidP="008733E2">
      <w:pPr>
        <w:pBdr>
          <w:bottom w:val="single" w:sz="4" w:space="1" w:color="auto"/>
        </w:pBdr>
        <w:rPr>
          <w:sz w:val="32"/>
          <w:szCs w:val="32"/>
        </w:rPr>
      </w:pPr>
      <w:r w:rsidRPr="00BD5751">
        <w:rPr>
          <w:sz w:val="32"/>
          <w:szCs w:val="32"/>
        </w:rPr>
        <w:t>Navn:</w:t>
      </w:r>
      <w:r w:rsidRPr="00BD5751">
        <w:rPr>
          <w:sz w:val="32"/>
          <w:szCs w:val="32"/>
        </w:rPr>
        <w:tab/>
      </w:r>
      <w:r w:rsidRPr="00BD5751">
        <w:rPr>
          <w:sz w:val="32"/>
          <w:szCs w:val="32"/>
        </w:rPr>
        <w:tab/>
      </w:r>
      <w:r w:rsidRPr="00BD5751">
        <w:rPr>
          <w:sz w:val="32"/>
          <w:szCs w:val="32"/>
        </w:rPr>
        <w:tab/>
      </w:r>
      <w:r w:rsidRPr="00BD5751">
        <w:rPr>
          <w:sz w:val="32"/>
          <w:szCs w:val="32"/>
        </w:rPr>
        <w:tab/>
        <w:t>CPR. Nr.:</w:t>
      </w:r>
    </w:p>
    <w:p w14:paraId="2A08A4F1" w14:textId="77777777" w:rsidR="008733E2" w:rsidRPr="00BD5751" w:rsidRDefault="008733E2" w:rsidP="008733E2">
      <w:pPr>
        <w:rPr>
          <w:sz w:val="32"/>
          <w:szCs w:val="32"/>
        </w:rPr>
      </w:pPr>
    </w:p>
    <w:p w14:paraId="28AC7B6F" w14:textId="77777777" w:rsidR="008733E2" w:rsidRPr="00BD5751" w:rsidRDefault="008733E2" w:rsidP="008733E2">
      <w:pPr>
        <w:pBdr>
          <w:bottom w:val="single" w:sz="4" w:space="1" w:color="auto"/>
        </w:pBdr>
        <w:rPr>
          <w:sz w:val="32"/>
          <w:szCs w:val="32"/>
        </w:rPr>
      </w:pPr>
      <w:r w:rsidRPr="00BD5751">
        <w:rPr>
          <w:sz w:val="32"/>
          <w:szCs w:val="32"/>
        </w:rPr>
        <w:t>Dato:</w:t>
      </w:r>
      <w:r w:rsidRPr="00BD5751">
        <w:rPr>
          <w:sz w:val="32"/>
          <w:szCs w:val="32"/>
        </w:rPr>
        <w:tab/>
      </w:r>
      <w:r w:rsidRPr="00BD5751">
        <w:rPr>
          <w:sz w:val="32"/>
          <w:szCs w:val="32"/>
        </w:rPr>
        <w:tab/>
      </w:r>
      <w:r w:rsidRPr="00BD5751">
        <w:rPr>
          <w:sz w:val="32"/>
          <w:szCs w:val="32"/>
        </w:rPr>
        <w:tab/>
      </w:r>
      <w:r w:rsidRPr="00BD5751">
        <w:rPr>
          <w:sz w:val="32"/>
          <w:szCs w:val="32"/>
        </w:rPr>
        <w:tab/>
        <w:t>Tidspunkt:</w:t>
      </w:r>
    </w:p>
    <w:p w14:paraId="7C08088B" w14:textId="77777777" w:rsidR="008733E2" w:rsidRPr="00E313F6" w:rsidRDefault="008733E2" w:rsidP="008733E2">
      <w:pPr>
        <w:rPr>
          <w:sz w:val="28"/>
          <w:szCs w:val="28"/>
        </w:rPr>
      </w:pPr>
    </w:p>
    <w:p w14:paraId="5B3CB7AD" w14:textId="77777777" w:rsidR="008733E2" w:rsidRDefault="008733E2" w:rsidP="008733E2">
      <w:pPr>
        <w:rPr>
          <w:sz w:val="28"/>
          <w:szCs w:val="28"/>
        </w:rPr>
      </w:pPr>
      <w:r w:rsidRPr="00E313F6">
        <w:rPr>
          <w:sz w:val="28"/>
          <w:szCs w:val="28"/>
        </w:rPr>
        <w:t>Som hovedregel injiceres hurtigvirkende insulin i maven i fedtlaget min 5 cm. væk fra navlen.</w:t>
      </w:r>
    </w:p>
    <w:p w14:paraId="435F595D" w14:textId="77777777" w:rsidR="008733E2" w:rsidRDefault="008733E2" w:rsidP="008733E2">
      <w:pPr>
        <w:rPr>
          <w:sz w:val="28"/>
          <w:szCs w:val="28"/>
        </w:rPr>
      </w:pPr>
    </w:p>
    <w:p w14:paraId="3BF425BE" w14:textId="77777777" w:rsidR="008733E2" w:rsidRDefault="008733E2" w:rsidP="008733E2">
      <w:pPr>
        <w:rPr>
          <w:sz w:val="28"/>
          <w:szCs w:val="28"/>
        </w:rPr>
      </w:pPr>
    </w:p>
    <w:p w14:paraId="2058C583" w14:textId="5593B2EA" w:rsidR="008733E2" w:rsidRPr="001D35D7" w:rsidRDefault="008733E2" w:rsidP="008733E2">
      <w:pPr>
        <w:rPr>
          <w:sz w:val="28"/>
          <w:szCs w:val="28"/>
        </w:rPr>
      </w:pPr>
      <w:r w:rsidRPr="00756A7E">
        <w:rPr>
          <w:noProof/>
          <w:sz w:val="28"/>
          <w:szCs w:val="28"/>
        </w:rPr>
        <w:drawing>
          <wp:inline distT="0" distB="0" distL="0" distR="0" wp14:anchorId="2E6585D8" wp14:editId="3491B9DA">
            <wp:extent cx="6645910" cy="5730875"/>
            <wp:effectExtent l="0" t="0" r="2540" b="3175"/>
            <wp:docPr id="9" name="Billed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3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8733E2" w:rsidRPr="001D35D7" w:rsidSect="006F51DD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04CA" w14:textId="77777777" w:rsidR="00DF7BE0" w:rsidRDefault="00DF7BE0" w:rsidP="003D220A">
      <w:r>
        <w:separator/>
      </w:r>
    </w:p>
  </w:endnote>
  <w:endnote w:type="continuationSeparator" w:id="0">
    <w:p w14:paraId="50928514" w14:textId="77777777" w:rsidR="00DF7BE0" w:rsidRDefault="00DF7BE0" w:rsidP="003D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611710"/>
      <w:docPartObj>
        <w:docPartGallery w:val="Page Numbers (Bottom of Page)"/>
        <w:docPartUnique/>
      </w:docPartObj>
    </w:sdtPr>
    <w:sdtEndPr/>
    <w:sdtContent>
      <w:p w14:paraId="46DF1D38" w14:textId="742BCE12" w:rsidR="00504889" w:rsidRDefault="0050488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D9574" w14:textId="77777777" w:rsidR="00504889" w:rsidRDefault="005048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89AF" w14:textId="77777777" w:rsidR="00DF7BE0" w:rsidRDefault="00DF7BE0" w:rsidP="003D220A">
      <w:r>
        <w:separator/>
      </w:r>
    </w:p>
  </w:footnote>
  <w:footnote w:type="continuationSeparator" w:id="0">
    <w:p w14:paraId="0EAB5591" w14:textId="77777777" w:rsidR="00DF7BE0" w:rsidRDefault="00DF7BE0" w:rsidP="003D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9F9F" w14:textId="77777777" w:rsidR="00095A19" w:rsidRDefault="00095A19" w:rsidP="00095A19">
    <w:pPr>
      <w:pStyle w:val="Sidehoved"/>
    </w:pPr>
    <w:bookmarkStart w:id="2" w:name="_Hlk134434705"/>
    <w:bookmarkStart w:id="3" w:name="_Hlk134437039"/>
    <w:r>
      <w:rPr>
        <w:noProof/>
      </w:rPr>
      <w:drawing>
        <wp:inline distT="0" distB="0" distL="0" distR="0" wp14:anchorId="56AC4B49" wp14:editId="66776239">
          <wp:extent cx="1647825" cy="142875"/>
          <wp:effectExtent l="0" t="0" r="9525" b="9525"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>
      <w:rPr>
        <w:noProof/>
      </w:rPr>
      <w:drawing>
        <wp:inline distT="0" distB="0" distL="0" distR="0" wp14:anchorId="3246AA3D" wp14:editId="0D000E82">
          <wp:extent cx="600075" cy="714375"/>
          <wp:effectExtent l="0" t="0" r="9525" b="9525"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bookmarkEnd w:id="3"/>
  <w:p w14:paraId="2E773528" w14:textId="77777777" w:rsidR="00095A19" w:rsidRDefault="00095A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F1"/>
    <w:multiLevelType w:val="hybridMultilevel"/>
    <w:tmpl w:val="711A79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114D"/>
    <w:multiLevelType w:val="multilevel"/>
    <w:tmpl w:val="F9A4D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43D1B"/>
    <w:multiLevelType w:val="hybridMultilevel"/>
    <w:tmpl w:val="D64CAC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7698B"/>
    <w:multiLevelType w:val="hybridMultilevel"/>
    <w:tmpl w:val="77E63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806BC"/>
    <w:multiLevelType w:val="hybridMultilevel"/>
    <w:tmpl w:val="7FA6A4BC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EB72F27"/>
    <w:multiLevelType w:val="multilevel"/>
    <w:tmpl w:val="F5960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276AE0"/>
    <w:multiLevelType w:val="hybridMultilevel"/>
    <w:tmpl w:val="D5E2D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E7148"/>
    <w:multiLevelType w:val="hybridMultilevel"/>
    <w:tmpl w:val="6924E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117D3"/>
    <w:multiLevelType w:val="hybridMultilevel"/>
    <w:tmpl w:val="7A3A91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446D"/>
    <w:multiLevelType w:val="hybridMultilevel"/>
    <w:tmpl w:val="ACACD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F6D23"/>
    <w:multiLevelType w:val="hybridMultilevel"/>
    <w:tmpl w:val="5D9EEF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77848"/>
    <w:multiLevelType w:val="hybridMultilevel"/>
    <w:tmpl w:val="4A5E5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A78D1"/>
    <w:multiLevelType w:val="hybridMultilevel"/>
    <w:tmpl w:val="85F46F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D41F0"/>
    <w:multiLevelType w:val="hybridMultilevel"/>
    <w:tmpl w:val="8F58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D2303"/>
    <w:multiLevelType w:val="hybridMultilevel"/>
    <w:tmpl w:val="6C0ED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A3215"/>
    <w:multiLevelType w:val="multilevel"/>
    <w:tmpl w:val="1C38F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5C778E"/>
    <w:multiLevelType w:val="hybridMultilevel"/>
    <w:tmpl w:val="A112BC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3CF1"/>
    <w:multiLevelType w:val="hybridMultilevel"/>
    <w:tmpl w:val="F51E22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12894"/>
    <w:multiLevelType w:val="multilevel"/>
    <w:tmpl w:val="F5960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744BE"/>
    <w:multiLevelType w:val="hybridMultilevel"/>
    <w:tmpl w:val="CBDA1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86782"/>
    <w:multiLevelType w:val="hybridMultilevel"/>
    <w:tmpl w:val="7B107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70A0A"/>
    <w:multiLevelType w:val="hybridMultilevel"/>
    <w:tmpl w:val="A066F6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35D5E"/>
    <w:multiLevelType w:val="hybridMultilevel"/>
    <w:tmpl w:val="8000E4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F1132"/>
    <w:multiLevelType w:val="hybridMultilevel"/>
    <w:tmpl w:val="6B041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54360"/>
    <w:multiLevelType w:val="hybridMultilevel"/>
    <w:tmpl w:val="F6BAE2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523E0"/>
    <w:multiLevelType w:val="hybridMultilevel"/>
    <w:tmpl w:val="2D543E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061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9C0646B"/>
    <w:multiLevelType w:val="hybridMultilevel"/>
    <w:tmpl w:val="3D1E02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54EF0"/>
    <w:multiLevelType w:val="hybridMultilevel"/>
    <w:tmpl w:val="4A88BD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60EF0"/>
    <w:multiLevelType w:val="hybridMultilevel"/>
    <w:tmpl w:val="74E86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71C8F"/>
    <w:multiLevelType w:val="hybridMultilevel"/>
    <w:tmpl w:val="C01ED1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50AF3"/>
    <w:multiLevelType w:val="multilevel"/>
    <w:tmpl w:val="712E4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36530E"/>
    <w:multiLevelType w:val="hybridMultilevel"/>
    <w:tmpl w:val="F494924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5718C"/>
    <w:multiLevelType w:val="hybridMultilevel"/>
    <w:tmpl w:val="D0EC98F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60B91"/>
    <w:multiLevelType w:val="hybridMultilevel"/>
    <w:tmpl w:val="49ACDDD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D43A0"/>
    <w:multiLevelType w:val="multilevel"/>
    <w:tmpl w:val="11205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0047640">
    <w:abstractNumId w:val="34"/>
  </w:num>
  <w:num w:numId="2" w16cid:durableId="1129514432">
    <w:abstractNumId w:val="32"/>
  </w:num>
  <w:num w:numId="3" w16cid:durableId="950283494">
    <w:abstractNumId w:val="35"/>
  </w:num>
  <w:num w:numId="4" w16cid:durableId="597836476">
    <w:abstractNumId w:val="23"/>
  </w:num>
  <w:num w:numId="5" w16cid:durableId="1947690740">
    <w:abstractNumId w:val="33"/>
  </w:num>
  <w:num w:numId="6" w16cid:durableId="1546722529">
    <w:abstractNumId w:val="13"/>
  </w:num>
  <w:num w:numId="7" w16cid:durableId="13044872">
    <w:abstractNumId w:val="29"/>
  </w:num>
  <w:num w:numId="8" w16cid:durableId="1856310900">
    <w:abstractNumId w:val="14"/>
  </w:num>
  <w:num w:numId="9" w16cid:durableId="1380742377">
    <w:abstractNumId w:val="4"/>
  </w:num>
  <w:num w:numId="10" w16cid:durableId="1175996846">
    <w:abstractNumId w:val="9"/>
  </w:num>
  <w:num w:numId="11" w16cid:durableId="1681002000">
    <w:abstractNumId w:val="6"/>
  </w:num>
  <w:num w:numId="12" w16cid:durableId="248276832">
    <w:abstractNumId w:val="20"/>
  </w:num>
  <w:num w:numId="13" w16cid:durableId="729572310">
    <w:abstractNumId w:val="25"/>
  </w:num>
  <w:num w:numId="14" w16cid:durableId="1109468700">
    <w:abstractNumId w:val="24"/>
  </w:num>
  <w:num w:numId="15" w16cid:durableId="1894460745">
    <w:abstractNumId w:val="0"/>
  </w:num>
  <w:num w:numId="16" w16cid:durableId="524489822">
    <w:abstractNumId w:val="12"/>
  </w:num>
  <w:num w:numId="17" w16cid:durableId="1622221448">
    <w:abstractNumId w:val="2"/>
  </w:num>
  <w:num w:numId="18" w16cid:durableId="1998264480">
    <w:abstractNumId w:val="28"/>
  </w:num>
  <w:num w:numId="19" w16cid:durableId="694115775">
    <w:abstractNumId w:val="16"/>
  </w:num>
  <w:num w:numId="20" w16cid:durableId="1714768114">
    <w:abstractNumId w:val="19"/>
  </w:num>
  <w:num w:numId="21" w16cid:durableId="1164664158">
    <w:abstractNumId w:val="17"/>
  </w:num>
  <w:num w:numId="22" w16cid:durableId="1048804100">
    <w:abstractNumId w:val="18"/>
  </w:num>
  <w:num w:numId="23" w16cid:durableId="743912255">
    <w:abstractNumId w:val="31"/>
  </w:num>
  <w:num w:numId="24" w16cid:durableId="1635672575">
    <w:abstractNumId w:val="15"/>
  </w:num>
  <w:num w:numId="25" w16cid:durableId="1892036504">
    <w:abstractNumId w:val="1"/>
  </w:num>
  <w:num w:numId="26" w16cid:durableId="1673295236">
    <w:abstractNumId w:val="5"/>
  </w:num>
  <w:num w:numId="27" w16cid:durableId="1864903462">
    <w:abstractNumId w:val="26"/>
  </w:num>
  <w:num w:numId="28" w16cid:durableId="2120104475">
    <w:abstractNumId w:val="30"/>
  </w:num>
  <w:num w:numId="29" w16cid:durableId="133642851">
    <w:abstractNumId w:val="11"/>
  </w:num>
  <w:num w:numId="30" w16cid:durableId="372460617">
    <w:abstractNumId w:val="22"/>
  </w:num>
  <w:num w:numId="31" w16cid:durableId="1144003275">
    <w:abstractNumId w:val="8"/>
  </w:num>
  <w:num w:numId="32" w16cid:durableId="659820116">
    <w:abstractNumId w:val="27"/>
  </w:num>
  <w:num w:numId="33" w16cid:durableId="1940528069">
    <w:abstractNumId w:val="3"/>
  </w:num>
  <w:num w:numId="34" w16cid:durableId="754087451">
    <w:abstractNumId w:val="21"/>
  </w:num>
  <w:num w:numId="35" w16cid:durableId="550917796">
    <w:abstractNumId w:val="7"/>
  </w:num>
  <w:num w:numId="36" w16cid:durableId="63965112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2"/>
    <w:rsid w:val="00000197"/>
    <w:rsid w:val="00022B71"/>
    <w:rsid w:val="00023469"/>
    <w:rsid w:val="00026A2F"/>
    <w:rsid w:val="00054019"/>
    <w:rsid w:val="000709EE"/>
    <w:rsid w:val="00090C5F"/>
    <w:rsid w:val="000936E1"/>
    <w:rsid w:val="00095A19"/>
    <w:rsid w:val="000B28AA"/>
    <w:rsid w:val="000D2EDD"/>
    <w:rsid w:val="000E4372"/>
    <w:rsid w:val="000F1719"/>
    <w:rsid w:val="000F78A5"/>
    <w:rsid w:val="00107AA4"/>
    <w:rsid w:val="00111B27"/>
    <w:rsid w:val="0017025C"/>
    <w:rsid w:val="00193C6A"/>
    <w:rsid w:val="001C3517"/>
    <w:rsid w:val="001D25A8"/>
    <w:rsid w:val="001D35D7"/>
    <w:rsid w:val="00217F9D"/>
    <w:rsid w:val="00220F62"/>
    <w:rsid w:val="00224797"/>
    <w:rsid w:val="002258BF"/>
    <w:rsid w:val="00231828"/>
    <w:rsid w:val="00242CFD"/>
    <w:rsid w:val="00243D7F"/>
    <w:rsid w:val="00250DBD"/>
    <w:rsid w:val="002514C0"/>
    <w:rsid w:val="002614B0"/>
    <w:rsid w:val="00276922"/>
    <w:rsid w:val="00276DE1"/>
    <w:rsid w:val="0029624D"/>
    <w:rsid w:val="002D4B0A"/>
    <w:rsid w:val="002E78DD"/>
    <w:rsid w:val="002F0D0E"/>
    <w:rsid w:val="00312215"/>
    <w:rsid w:val="00317B2C"/>
    <w:rsid w:val="0033655E"/>
    <w:rsid w:val="00345C1F"/>
    <w:rsid w:val="003520B0"/>
    <w:rsid w:val="003613E3"/>
    <w:rsid w:val="00363DE0"/>
    <w:rsid w:val="00380E17"/>
    <w:rsid w:val="003A392B"/>
    <w:rsid w:val="003B0C7B"/>
    <w:rsid w:val="003B62D8"/>
    <w:rsid w:val="003C1E87"/>
    <w:rsid w:val="003D220A"/>
    <w:rsid w:val="003E0EF6"/>
    <w:rsid w:val="003E49D9"/>
    <w:rsid w:val="003E4A8B"/>
    <w:rsid w:val="003F15B5"/>
    <w:rsid w:val="003F5925"/>
    <w:rsid w:val="00432D40"/>
    <w:rsid w:val="00455117"/>
    <w:rsid w:val="00492EA2"/>
    <w:rsid w:val="004C520D"/>
    <w:rsid w:val="004C6ED1"/>
    <w:rsid w:val="004E20F1"/>
    <w:rsid w:val="00504889"/>
    <w:rsid w:val="005074C2"/>
    <w:rsid w:val="005134C4"/>
    <w:rsid w:val="005220FA"/>
    <w:rsid w:val="00525822"/>
    <w:rsid w:val="00543D6F"/>
    <w:rsid w:val="00544B2B"/>
    <w:rsid w:val="005546E4"/>
    <w:rsid w:val="00561775"/>
    <w:rsid w:val="005764EE"/>
    <w:rsid w:val="005914A8"/>
    <w:rsid w:val="00597CC9"/>
    <w:rsid w:val="005C4D25"/>
    <w:rsid w:val="005C4EC2"/>
    <w:rsid w:val="005C5B17"/>
    <w:rsid w:val="005D589B"/>
    <w:rsid w:val="005E7C80"/>
    <w:rsid w:val="00603994"/>
    <w:rsid w:val="00603EC9"/>
    <w:rsid w:val="00610B7C"/>
    <w:rsid w:val="00622B5D"/>
    <w:rsid w:val="00622E44"/>
    <w:rsid w:val="006378A5"/>
    <w:rsid w:val="006651EA"/>
    <w:rsid w:val="00666F95"/>
    <w:rsid w:val="00667645"/>
    <w:rsid w:val="00692A4D"/>
    <w:rsid w:val="006A3CA1"/>
    <w:rsid w:val="006A4619"/>
    <w:rsid w:val="006F51DD"/>
    <w:rsid w:val="006F5B38"/>
    <w:rsid w:val="00701696"/>
    <w:rsid w:val="0075473E"/>
    <w:rsid w:val="00773E87"/>
    <w:rsid w:val="00787009"/>
    <w:rsid w:val="007A3FE0"/>
    <w:rsid w:val="007B617D"/>
    <w:rsid w:val="007C4F2F"/>
    <w:rsid w:val="007F1645"/>
    <w:rsid w:val="00802086"/>
    <w:rsid w:val="008209B8"/>
    <w:rsid w:val="0082790F"/>
    <w:rsid w:val="00871EF7"/>
    <w:rsid w:val="008731AA"/>
    <w:rsid w:val="008733E2"/>
    <w:rsid w:val="00874097"/>
    <w:rsid w:val="00876BC4"/>
    <w:rsid w:val="00884868"/>
    <w:rsid w:val="00896EA5"/>
    <w:rsid w:val="008A6299"/>
    <w:rsid w:val="008A67DE"/>
    <w:rsid w:val="008E16E0"/>
    <w:rsid w:val="008E5007"/>
    <w:rsid w:val="009016E6"/>
    <w:rsid w:val="00910A72"/>
    <w:rsid w:val="00914DB1"/>
    <w:rsid w:val="00930803"/>
    <w:rsid w:val="00932874"/>
    <w:rsid w:val="00943EE5"/>
    <w:rsid w:val="00947395"/>
    <w:rsid w:val="009734C4"/>
    <w:rsid w:val="00975907"/>
    <w:rsid w:val="00987386"/>
    <w:rsid w:val="00992D24"/>
    <w:rsid w:val="009A37EB"/>
    <w:rsid w:val="009B24FF"/>
    <w:rsid w:val="009C19D6"/>
    <w:rsid w:val="009D0FD2"/>
    <w:rsid w:val="00A11201"/>
    <w:rsid w:val="00A12D5B"/>
    <w:rsid w:val="00A26A87"/>
    <w:rsid w:val="00A86CA0"/>
    <w:rsid w:val="00A9176E"/>
    <w:rsid w:val="00A9527D"/>
    <w:rsid w:val="00A96958"/>
    <w:rsid w:val="00AA35C8"/>
    <w:rsid w:val="00AA628E"/>
    <w:rsid w:val="00AC0E67"/>
    <w:rsid w:val="00AF13DB"/>
    <w:rsid w:val="00B065E4"/>
    <w:rsid w:val="00B158CB"/>
    <w:rsid w:val="00B21ADF"/>
    <w:rsid w:val="00B2455F"/>
    <w:rsid w:val="00B257DC"/>
    <w:rsid w:val="00B36E63"/>
    <w:rsid w:val="00B40E3E"/>
    <w:rsid w:val="00B47BDF"/>
    <w:rsid w:val="00B55AE4"/>
    <w:rsid w:val="00B6387C"/>
    <w:rsid w:val="00B80E61"/>
    <w:rsid w:val="00BF0652"/>
    <w:rsid w:val="00C15955"/>
    <w:rsid w:val="00C20C48"/>
    <w:rsid w:val="00C34E92"/>
    <w:rsid w:val="00C53C8E"/>
    <w:rsid w:val="00C90394"/>
    <w:rsid w:val="00C95685"/>
    <w:rsid w:val="00C96014"/>
    <w:rsid w:val="00CB6F8C"/>
    <w:rsid w:val="00CE083F"/>
    <w:rsid w:val="00CF3959"/>
    <w:rsid w:val="00CF3C0C"/>
    <w:rsid w:val="00D35B1D"/>
    <w:rsid w:val="00D45F30"/>
    <w:rsid w:val="00D50339"/>
    <w:rsid w:val="00D5554B"/>
    <w:rsid w:val="00D8092E"/>
    <w:rsid w:val="00DA043B"/>
    <w:rsid w:val="00DB0791"/>
    <w:rsid w:val="00DE02E4"/>
    <w:rsid w:val="00DE6932"/>
    <w:rsid w:val="00DF25A6"/>
    <w:rsid w:val="00DF7BE0"/>
    <w:rsid w:val="00E10A47"/>
    <w:rsid w:val="00E23047"/>
    <w:rsid w:val="00E313F6"/>
    <w:rsid w:val="00E45DCE"/>
    <w:rsid w:val="00E9551B"/>
    <w:rsid w:val="00E96DE6"/>
    <w:rsid w:val="00EA4F7F"/>
    <w:rsid w:val="00ED1CF5"/>
    <w:rsid w:val="00ED253D"/>
    <w:rsid w:val="00FC08CF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F9D"/>
    <w:pPr>
      <w:spacing w:after="0" w:line="240" w:lineRule="auto"/>
      <w:jc w:val="both"/>
    </w:pPr>
    <w:rPr>
      <w:rFonts w:ascii="Arial" w:eastAsia="Arial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link w:val="IngenafstandTegn"/>
    <w:uiPriority w:val="1"/>
    <w:qFormat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Fodnotetekst">
    <w:name w:val="footnote text"/>
    <w:basedOn w:val="Normal"/>
    <w:link w:val="FodnotetekstTegn"/>
    <w:uiPriority w:val="99"/>
    <w:rsid w:val="00DE6932"/>
    <w:rPr>
      <w:rFonts w:ascii="Calibri" w:hAnsi="Calibri" w:cs="Tahoma"/>
      <w:sz w:val="20"/>
      <w:szCs w:val="20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E6932"/>
    <w:rPr>
      <w:rFonts w:eastAsia="Times New Roman" w:cs="Tahoma"/>
      <w:color w:val="000000"/>
      <w:sz w:val="20"/>
      <w:szCs w:val="20"/>
      <w:lang w:eastAsia="zh-CN"/>
    </w:rPr>
  </w:style>
  <w:style w:type="character" w:styleId="Fodnotehenvisning">
    <w:name w:val="footnote reference"/>
    <w:uiPriority w:val="99"/>
    <w:rsid w:val="00DE6932"/>
    <w:rPr>
      <w:vertAlign w:val="superscript"/>
    </w:rPr>
  </w:style>
  <w:style w:type="paragraph" w:customStyle="1" w:styleId="MediO1">
    <w:name w:val="Medi. O1"/>
    <w:basedOn w:val="Overskrift1"/>
    <w:link w:val="MediO1Tegn"/>
    <w:qFormat/>
    <w:rsid w:val="00932874"/>
    <w:pPr>
      <w:keepLines w:val="0"/>
      <w:spacing w:before="240" w:after="60"/>
    </w:pPr>
    <w:rPr>
      <w:rFonts w:ascii="Arial" w:eastAsia="Times New Roman" w:hAnsi="Arial" w:cs="Arial"/>
      <w:bCs/>
      <w:kern w:val="32"/>
      <w:sz w:val="28"/>
    </w:rPr>
  </w:style>
  <w:style w:type="character" w:customStyle="1" w:styleId="MediO1Tegn">
    <w:name w:val="Medi. O1 Tegn"/>
    <w:link w:val="MediO1"/>
    <w:rsid w:val="00932874"/>
    <w:rPr>
      <w:rFonts w:ascii="Arial" w:eastAsia="Times New Roman" w:hAnsi="Arial" w:cs="Arial"/>
      <w:b/>
      <w:bCs/>
      <w:color w:val="000000"/>
      <w:kern w:val="32"/>
      <w:sz w:val="28"/>
      <w:szCs w:val="32"/>
      <w:lang w:eastAsia="da-DK"/>
    </w:rPr>
  </w:style>
  <w:style w:type="paragraph" w:styleId="NormalWeb">
    <w:name w:val="Normal (Web)"/>
    <w:basedOn w:val="Normal"/>
    <w:uiPriority w:val="99"/>
    <w:unhideWhenUsed/>
    <w:rsid w:val="00987386"/>
    <w:pPr>
      <w:spacing w:before="225" w:after="225" w:line="327" w:lineRule="auto"/>
    </w:pPr>
    <w:rPr>
      <w:rFonts w:ascii="Times New Roman" w:hAnsi="Times New Roman"/>
      <w:sz w:val="24"/>
      <w:szCs w:val="24"/>
    </w:rPr>
  </w:style>
  <w:style w:type="character" w:customStyle="1" w:styleId="IngenafstandTegn">
    <w:name w:val="Ingen afstand Tegn"/>
    <w:link w:val="Ingenafstand"/>
    <w:uiPriority w:val="1"/>
    <w:rsid w:val="00987386"/>
  </w:style>
  <w:style w:type="character" w:styleId="Ulstomtale">
    <w:name w:val="Unresolved Mention"/>
    <w:basedOn w:val="Standardskrifttypeiafsnit"/>
    <w:uiPriority w:val="99"/>
    <w:semiHidden/>
    <w:unhideWhenUsed/>
    <w:rsid w:val="00242CF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95A1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95A19"/>
    <w:rPr>
      <w:rFonts w:ascii="Arial" w:eastAsia="Arial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95A1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5A19"/>
    <w:rPr>
      <w:rFonts w:ascii="Arial" w:eastAsia="Arial" w:hAnsi="Arial" w:cs="Arial"/>
      <w:color w:val="000000"/>
      <w:lang w:eastAsia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E16E0"/>
    <w:pPr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E16E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ps.dk/da/laering/risikoomraader/risikosituationslaegemidler/medicin-mod-diabetes-antidiabetika/" TargetMode="External"/><Relationship Id="rId13" Type="http://schemas.openxmlformats.org/officeDocument/2006/relationships/hyperlink" Target="https://laegemiddelstyrelsen.dk/da/apoteker/apoteker/dosisdispensering/~/media/F1C2137A74E04376A1623546D18B7F39.ashx" TargetMode="External"/><Relationship Id="rId18" Type="http://schemas.openxmlformats.org/officeDocument/2006/relationships/hyperlink" Target="https://www.varportal.dk/portal/procedure/9655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retsinformation.dk/eli/lta/2018/1654" TargetMode="External"/><Relationship Id="rId17" Type="http://schemas.openxmlformats.org/officeDocument/2006/relationships/hyperlink" Target="https://www.varportal.dk/portal/procedure/99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ps.dk/da/laering/risikoomraader/risikosituationslaegemidler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tsinformation.dk/eli/mt/2009/11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poteket.dk/-/media/brochure/medicinaffald/medicinaffald-folder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etsinformation.dk/eli/retsinfo/2015/9079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varportal.dk/portal/procedure/9946/" TargetMode="External"/><Relationship Id="rId14" Type="http://schemas.openxmlformats.org/officeDocument/2006/relationships/hyperlink" Target="https://www.sst.dk/da/udgivelser/2017/~/media/5A39FD04712D4917B0E9730850636438.ashx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1487</Words>
  <Characters>10251</Characters>
  <Application>Microsoft Office Word</Application>
  <DocSecurity>0</DocSecurity>
  <Lines>284</Lines>
  <Paragraphs>160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Instruks – Insulin</vt:lpstr>
    </vt:vector>
  </TitlesOfParts>
  <Company>Randers Kommune</Company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– Insulin</dc:title>
  <dc:subject/>
  <dc:creator>Ghita Marianne Steenholt</dc:creator>
  <cp:keywords/>
  <dc:description/>
  <cp:lastModifiedBy>Anne Bull Skov</cp:lastModifiedBy>
  <cp:revision>4</cp:revision>
  <dcterms:created xsi:type="dcterms:W3CDTF">2023-08-23T13:01:00Z</dcterms:created>
  <dcterms:modified xsi:type="dcterms:W3CDTF">2023-08-23T13:05:00Z</dcterms:modified>
</cp:coreProperties>
</file>