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9257" w14:textId="0010676A" w:rsidR="000A2518" w:rsidRPr="00AF1BCE" w:rsidRDefault="000A2518" w:rsidP="00835ACE">
      <w:pPr>
        <w:pStyle w:val="Overskrift1"/>
      </w:pPr>
      <w:bookmarkStart w:id="0" w:name="_Toc85793156"/>
      <w:r w:rsidRPr="00AF1BCE">
        <w:t xml:space="preserve">Instruks – </w:t>
      </w:r>
      <w:r w:rsidRPr="00835ACE">
        <w:t>Sundhedstjek</w:t>
      </w:r>
      <w:r w:rsidRPr="00AF1BCE">
        <w:rPr>
          <w:shd w:val="clear" w:color="auto" w:fill="FFFFFF"/>
        </w:rPr>
        <w:t xml:space="preserve"> til borgere over 18 år med betydelig og varig nedsat fysisk og psykisk funktionsevne,</w:t>
      </w:r>
      <w:r w:rsidR="00203276" w:rsidRPr="00AF1BCE">
        <w:rPr>
          <w:shd w:val="clear" w:color="auto" w:fill="FFFFFF"/>
        </w:rPr>
        <w:t xml:space="preserve"> der </w:t>
      </w:r>
      <w:r w:rsidR="00476A36" w:rsidRPr="00AF1BCE">
        <w:rPr>
          <w:shd w:val="clear" w:color="auto" w:fill="FFFFFF"/>
        </w:rPr>
        <w:t xml:space="preserve">bl.a. </w:t>
      </w:r>
      <w:r w:rsidR="00203276" w:rsidRPr="00AF1BCE">
        <w:rPr>
          <w:shd w:val="clear" w:color="auto" w:fill="FFFFFF"/>
        </w:rPr>
        <w:t>modtager mestringsvejledning</w:t>
      </w:r>
      <w:bookmarkEnd w:id="0"/>
    </w:p>
    <w:p w14:paraId="0A81E8A7" w14:textId="77777777" w:rsidR="000A2518" w:rsidRDefault="000A2518" w:rsidP="00F440BA"/>
    <w:tbl>
      <w:tblPr>
        <w:tblW w:w="10666" w:type="dxa"/>
        <w:tblInd w:w="-106" w:type="dxa"/>
        <w:tblCellMar>
          <w:top w:w="7" w:type="dxa"/>
          <w:left w:w="70" w:type="dxa"/>
          <w:right w:w="41" w:type="dxa"/>
        </w:tblCellMar>
        <w:tblLook w:val="04A0" w:firstRow="1" w:lastRow="0" w:firstColumn="1" w:lastColumn="0" w:noHBand="0" w:noVBand="1"/>
        <w:tblDescription w:val="Instruks – Sundhedstjek til borgere over 18 år med betydelig og varig nedsat fysisk og psykisk funktionsevne, der bl.a. modtager mestringsvejledning"/>
      </w:tblPr>
      <w:tblGrid>
        <w:gridCol w:w="3359"/>
        <w:gridCol w:w="7307"/>
      </w:tblGrid>
      <w:tr w:rsidR="00835ACE" w14:paraId="17EBC6E3" w14:textId="77777777" w:rsidTr="00835ACE">
        <w:trPr>
          <w:trHeight w:val="227"/>
          <w:tblHeader/>
        </w:trPr>
        <w:tc>
          <w:tcPr>
            <w:tcW w:w="3359" w:type="dxa"/>
            <w:tcBorders>
              <w:top w:val="single" w:sz="6" w:space="0" w:color="000000"/>
              <w:left w:val="single" w:sz="6" w:space="0" w:color="000000"/>
              <w:bottom w:val="single" w:sz="6" w:space="0" w:color="000000"/>
              <w:right w:val="single" w:sz="6" w:space="0" w:color="000000"/>
            </w:tcBorders>
            <w:shd w:val="clear" w:color="auto" w:fill="EAF1DD"/>
          </w:tcPr>
          <w:p w14:paraId="688B92D1" w14:textId="32FA4129" w:rsidR="00835ACE" w:rsidRPr="00137977" w:rsidRDefault="00835ACE" w:rsidP="00137977">
            <w:pPr>
              <w:jc w:val="left"/>
              <w:rPr>
                <w:b/>
                <w:bCs/>
              </w:rPr>
            </w:pPr>
            <w:r>
              <w:rPr>
                <w:b/>
                <w:bCs/>
              </w:rPr>
              <w:t>Situation</w:t>
            </w:r>
          </w:p>
        </w:tc>
        <w:tc>
          <w:tcPr>
            <w:tcW w:w="7307" w:type="dxa"/>
            <w:tcBorders>
              <w:top w:val="single" w:sz="6" w:space="0" w:color="000000"/>
              <w:left w:val="single" w:sz="6" w:space="0" w:color="000000"/>
              <w:bottom w:val="single" w:sz="6" w:space="0" w:color="000000"/>
              <w:right w:val="single" w:sz="6" w:space="0" w:color="000000"/>
            </w:tcBorders>
          </w:tcPr>
          <w:p w14:paraId="4D8C3C22" w14:textId="439912E5" w:rsidR="00835ACE" w:rsidRDefault="00835ACE" w:rsidP="00137977">
            <w:pPr>
              <w:jc w:val="left"/>
            </w:pPr>
            <w:r>
              <w:t>Instruks</w:t>
            </w:r>
          </w:p>
        </w:tc>
      </w:tr>
      <w:tr w:rsidR="0014601B" w14:paraId="3DEFC588" w14:textId="77777777" w:rsidTr="00527A34">
        <w:trPr>
          <w:trHeight w:val="1011"/>
        </w:trPr>
        <w:tc>
          <w:tcPr>
            <w:tcW w:w="3359" w:type="dxa"/>
            <w:tcBorders>
              <w:top w:val="single" w:sz="6" w:space="0" w:color="000000"/>
              <w:left w:val="single" w:sz="6" w:space="0" w:color="000000"/>
              <w:bottom w:val="single" w:sz="6" w:space="0" w:color="000000"/>
              <w:right w:val="single" w:sz="6" w:space="0" w:color="000000"/>
            </w:tcBorders>
            <w:shd w:val="clear" w:color="auto" w:fill="EAF1DD"/>
            <w:hideMark/>
          </w:tcPr>
          <w:p w14:paraId="34C7085D" w14:textId="77777777" w:rsidR="000A2518" w:rsidRPr="00137977" w:rsidRDefault="000A2518" w:rsidP="00137977">
            <w:pPr>
              <w:jc w:val="left"/>
              <w:rPr>
                <w:b/>
                <w:bCs/>
              </w:rPr>
            </w:pPr>
            <w:r w:rsidRPr="00137977">
              <w:rPr>
                <w:b/>
                <w:bCs/>
              </w:rPr>
              <w:t xml:space="preserve">Personalegrupper omfattet af instruksen </w:t>
            </w:r>
          </w:p>
        </w:tc>
        <w:tc>
          <w:tcPr>
            <w:tcW w:w="7307" w:type="dxa"/>
            <w:tcBorders>
              <w:top w:val="single" w:sz="6" w:space="0" w:color="000000"/>
              <w:left w:val="single" w:sz="6" w:space="0" w:color="000000"/>
              <w:bottom w:val="single" w:sz="6" w:space="0" w:color="000000"/>
              <w:right w:val="single" w:sz="6" w:space="0" w:color="000000"/>
            </w:tcBorders>
          </w:tcPr>
          <w:p w14:paraId="5298AC61" w14:textId="77777777" w:rsidR="000A2518" w:rsidRPr="0044419D" w:rsidRDefault="00D64F89" w:rsidP="00137977">
            <w:pPr>
              <w:jc w:val="left"/>
            </w:pPr>
            <w:r>
              <w:t>Personalet på botilbud/bofællesskaber er lign. i Randers kommune</w:t>
            </w:r>
            <w:r w:rsidR="000A2518">
              <w:t xml:space="preserve">: </w:t>
            </w:r>
          </w:p>
          <w:p w14:paraId="4619E1D9" w14:textId="77777777" w:rsidR="000A2518" w:rsidRPr="00F440BA" w:rsidRDefault="000A2518" w:rsidP="00137977">
            <w:pPr>
              <w:pStyle w:val="O2-indhold"/>
              <w:jc w:val="left"/>
            </w:pPr>
            <w:r w:rsidRPr="00F440BA">
              <w:t>Ledere</w:t>
            </w:r>
          </w:p>
          <w:p w14:paraId="05D1CF31" w14:textId="355A38CB" w:rsidR="000A2518" w:rsidRPr="00F440BA" w:rsidRDefault="00203276" w:rsidP="00137977">
            <w:pPr>
              <w:pStyle w:val="O2-indhold"/>
              <w:jc w:val="left"/>
            </w:pPr>
            <w:r w:rsidRPr="00F440BA">
              <w:t>Mestring</w:t>
            </w:r>
            <w:r w:rsidR="00C16E1F" w:rsidRPr="00F440BA">
              <w:t>s</w:t>
            </w:r>
            <w:r w:rsidRPr="00F440BA">
              <w:t>vejleder</w:t>
            </w:r>
            <w:r w:rsidR="00476A36" w:rsidRPr="00F440BA">
              <w:t xml:space="preserve"> m.m.</w:t>
            </w:r>
          </w:p>
          <w:p w14:paraId="69FA2F26" w14:textId="7288D149" w:rsidR="00476A36" w:rsidRPr="008B5BAA" w:rsidRDefault="00476A36" w:rsidP="00137977">
            <w:pPr>
              <w:jc w:val="left"/>
            </w:pPr>
          </w:p>
        </w:tc>
      </w:tr>
      <w:tr w:rsidR="0014601B" w14:paraId="57EFE643" w14:textId="77777777" w:rsidTr="00527A34">
        <w:trPr>
          <w:trHeight w:val="260"/>
        </w:trPr>
        <w:tc>
          <w:tcPr>
            <w:tcW w:w="3359" w:type="dxa"/>
            <w:tcBorders>
              <w:top w:val="single" w:sz="6" w:space="0" w:color="000000"/>
              <w:left w:val="single" w:sz="6" w:space="0" w:color="000000"/>
              <w:bottom w:val="single" w:sz="6" w:space="0" w:color="000000"/>
              <w:right w:val="single" w:sz="6" w:space="0" w:color="000000"/>
            </w:tcBorders>
            <w:shd w:val="clear" w:color="auto" w:fill="EAF1DD"/>
            <w:hideMark/>
          </w:tcPr>
          <w:p w14:paraId="3279CE7F" w14:textId="77777777" w:rsidR="000A2518" w:rsidRPr="00137977" w:rsidRDefault="000A2518" w:rsidP="00137977">
            <w:pPr>
              <w:jc w:val="left"/>
              <w:rPr>
                <w:b/>
                <w:bCs/>
              </w:rPr>
            </w:pPr>
            <w:r w:rsidRPr="00137977">
              <w:rPr>
                <w:b/>
                <w:bCs/>
              </w:rPr>
              <w:t xml:space="preserve">Formål med instruksen </w:t>
            </w:r>
          </w:p>
          <w:p w14:paraId="05F39AAF" w14:textId="77777777" w:rsidR="000A2518" w:rsidRPr="00137977" w:rsidRDefault="000A2518" w:rsidP="00137977">
            <w:pPr>
              <w:jc w:val="left"/>
              <w:rPr>
                <w:b/>
                <w:bCs/>
              </w:rPr>
            </w:pPr>
            <w:r w:rsidRPr="00137977">
              <w:rPr>
                <w:b/>
                <w:bCs/>
              </w:rPr>
              <w:t xml:space="preserve"> </w:t>
            </w:r>
          </w:p>
          <w:p w14:paraId="6D81D60E" w14:textId="77777777" w:rsidR="000A2518" w:rsidRPr="00137977" w:rsidRDefault="000A2518" w:rsidP="00137977">
            <w:pPr>
              <w:jc w:val="left"/>
              <w:rPr>
                <w:b/>
                <w:bCs/>
              </w:rPr>
            </w:pPr>
            <w:r w:rsidRPr="00137977">
              <w:rPr>
                <w:b/>
                <w:bCs/>
              </w:rPr>
              <w:t xml:space="preserve"> </w:t>
            </w:r>
          </w:p>
          <w:p w14:paraId="28FDD6EA" w14:textId="77777777" w:rsidR="000A2518" w:rsidRPr="00137977" w:rsidRDefault="000A2518" w:rsidP="00137977">
            <w:pPr>
              <w:jc w:val="left"/>
              <w:rPr>
                <w:b/>
                <w:bCs/>
              </w:rPr>
            </w:pPr>
            <w:r w:rsidRPr="00137977">
              <w:rPr>
                <w:b/>
                <w:bCs/>
              </w:rPr>
              <w:t xml:space="preserve"> </w:t>
            </w:r>
          </w:p>
        </w:tc>
        <w:tc>
          <w:tcPr>
            <w:tcW w:w="7307" w:type="dxa"/>
            <w:tcBorders>
              <w:top w:val="single" w:sz="6" w:space="0" w:color="000000"/>
              <w:left w:val="single" w:sz="6" w:space="0" w:color="000000"/>
              <w:bottom w:val="single" w:sz="6" w:space="0" w:color="000000"/>
              <w:right w:val="single" w:sz="6" w:space="0" w:color="000000"/>
            </w:tcBorders>
            <w:hideMark/>
          </w:tcPr>
          <w:p w14:paraId="29EA989C" w14:textId="77777777" w:rsidR="00E05B91" w:rsidRDefault="000A2518" w:rsidP="00137977">
            <w:pPr>
              <w:jc w:val="left"/>
            </w:pPr>
            <w:r w:rsidRPr="00E864F0">
              <w:t>At give personalet viden om</w:t>
            </w:r>
            <w:r w:rsidR="00E05B91">
              <w:t>:</w:t>
            </w:r>
          </w:p>
          <w:p w14:paraId="32519E0B" w14:textId="2404DD3C" w:rsidR="000A2518" w:rsidRPr="00AE1B62" w:rsidRDefault="00E05B91" w:rsidP="00137977">
            <w:pPr>
              <w:pStyle w:val="O2-indhold"/>
              <w:jc w:val="left"/>
            </w:pPr>
            <w:r w:rsidRPr="00AE1B62">
              <w:t>H</w:t>
            </w:r>
            <w:r w:rsidR="000A2518" w:rsidRPr="00AE1B62">
              <w:t>vordan de skal forholde sig i forbindelse med</w:t>
            </w:r>
            <w:r w:rsidR="00E864F0" w:rsidRPr="00AE1B62">
              <w:t xml:space="preserve"> sundhedstjek i almen praksis</w:t>
            </w:r>
          </w:p>
          <w:p w14:paraId="2D2AA45A" w14:textId="2B9B6F62" w:rsidR="00E05B91" w:rsidRDefault="00E05B91" w:rsidP="00137977">
            <w:pPr>
              <w:pStyle w:val="O2-indhold"/>
              <w:jc w:val="left"/>
            </w:pPr>
            <w:r w:rsidRPr="00AE1B62">
              <w:t>Hvordan personalet skal forholde sig til fokuseret somatisk undersøgelse til borgere medpsykisk sygdom</w:t>
            </w:r>
          </w:p>
        </w:tc>
      </w:tr>
      <w:tr w:rsidR="00E864F0" w14:paraId="4E643690" w14:textId="77777777" w:rsidTr="0014601B">
        <w:trPr>
          <w:trHeight w:val="1246"/>
        </w:trPr>
        <w:tc>
          <w:tcPr>
            <w:tcW w:w="3359" w:type="dxa"/>
            <w:tcBorders>
              <w:top w:val="single" w:sz="6" w:space="0" w:color="000000"/>
              <w:left w:val="single" w:sz="6" w:space="0" w:color="000000"/>
              <w:bottom w:val="single" w:sz="6" w:space="0" w:color="000000"/>
              <w:right w:val="single" w:sz="6" w:space="0" w:color="000000"/>
            </w:tcBorders>
            <w:shd w:val="clear" w:color="auto" w:fill="EAF1DD"/>
          </w:tcPr>
          <w:p w14:paraId="296182D1" w14:textId="489F01C0" w:rsidR="00E864F0" w:rsidRPr="00137977" w:rsidRDefault="00E864F0" w:rsidP="00137977">
            <w:pPr>
              <w:jc w:val="left"/>
              <w:rPr>
                <w:b/>
                <w:bCs/>
              </w:rPr>
            </w:pPr>
            <w:r w:rsidRPr="00137977">
              <w:rPr>
                <w:b/>
                <w:bCs/>
              </w:rPr>
              <w:t>Formål med sundhedstjekket</w:t>
            </w:r>
            <w:r w:rsidR="00E05B91" w:rsidRPr="00137977">
              <w:rPr>
                <w:b/>
                <w:bCs/>
              </w:rPr>
              <w:t xml:space="preserve"> og fokuseret somatisk undersøgelse</w:t>
            </w:r>
          </w:p>
        </w:tc>
        <w:tc>
          <w:tcPr>
            <w:tcW w:w="7307" w:type="dxa"/>
            <w:tcBorders>
              <w:top w:val="single" w:sz="6" w:space="0" w:color="000000"/>
              <w:left w:val="single" w:sz="6" w:space="0" w:color="000000"/>
              <w:bottom w:val="single" w:sz="6" w:space="0" w:color="000000"/>
              <w:right w:val="single" w:sz="6" w:space="0" w:color="000000"/>
            </w:tcBorders>
          </w:tcPr>
          <w:p w14:paraId="4B3522F9" w14:textId="38073CD2" w:rsidR="0044419D" w:rsidRDefault="00E864F0" w:rsidP="00137977">
            <w:pPr>
              <w:jc w:val="left"/>
            </w:pPr>
            <w:r>
              <w:t>At forebygge funktionstab og sygdom herunder diagnosticere og behandle somatisk sygdom rettidigt</w:t>
            </w:r>
          </w:p>
          <w:p w14:paraId="665FF383" w14:textId="3ED8682D" w:rsidR="00E864F0" w:rsidRPr="00476A36" w:rsidRDefault="00E864F0" w:rsidP="00137977">
            <w:pPr>
              <w:pStyle w:val="O2-indhold"/>
              <w:jc w:val="left"/>
            </w:pPr>
            <w:r w:rsidRPr="00476A36">
              <w:t xml:space="preserve">Hensigten med sundhedstjekket er at opspore </w:t>
            </w:r>
            <w:r w:rsidR="00C16E1F" w:rsidRPr="00476A36">
              <w:t>uopdaget</w:t>
            </w:r>
            <w:r w:rsidRPr="00476A36">
              <w:t xml:space="preserve"> somatisk sygdom, og at forebygge eller mindske sandsynligheden for, at kroniske sygdomme udvikles eller forværres. Desuden er der et ønske om at understøtte et godt tværsektoralt samarbejde og få et overblik over borgernes samlede behandlings- og plejebehov.</w:t>
            </w:r>
          </w:p>
          <w:p w14:paraId="0A0DCC53" w14:textId="77777777" w:rsidR="00E864F0" w:rsidRPr="00E864F0" w:rsidRDefault="00E864F0" w:rsidP="00137977">
            <w:pPr>
              <w:jc w:val="left"/>
            </w:pPr>
          </w:p>
        </w:tc>
      </w:tr>
      <w:tr w:rsidR="0014601B" w14:paraId="6AD70337" w14:textId="77777777" w:rsidTr="0014601B">
        <w:trPr>
          <w:trHeight w:val="782"/>
        </w:trPr>
        <w:tc>
          <w:tcPr>
            <w:tcW w:w="3359" w:type="dxa"/>
            <w:tcBorders>
              <w:top w:val="single" w:sz="6" w:space="0" w:color="000000"/>
              <w:left w:val="single" w:sz="6" w:space="0" w:color="000000"/>
              <w:bottom w:val="single" w:sz="6" w:space="0" w:color="000000"/>
              <w:right w:val="single" w:sz="6" w:space="0" w:color="000000"/>
            </w:tcBorders>
            <w:shd w:val="clear" w:color="auto" w:fill="EAF1DD"/>
            <w:hideMark/>
          </w:tcPr>
          <w:p w14:paraId="758E04CE" w14:textId="77777777" w:rsidR="000A2518" w:rsidRPr="00137977" w:rsidRDefault="000A2518" w:rsidP="00137977">
            <w:pPr>
              <w:jc w:val="left"/>
              <w:rPr>
                <w:b/>
                <w:bCs/>
              </w:rPr>
            </w:pPr>
            <w:r w:rsidRPr="00137977">
              <w:rPr>
                <w:b/>
                <w:bCs/>
              </w:rPr>
              <w:t>Ansvar</w:t>
            </w:r>
          </w:p>
        </w:tc>
        <w:tc>
          <w:tcPr>
            <w:tcW w:w="7307" w:type="dxa"/>
            <w:tcBorders>
              <w:top w:val="single" w:sz="6" w:space="0" w:color="000000"/>
              <w:left w:val="single" w:sz="6" w:space="0" w:color="000000"/>
              <w:bottom w:val="single" w:sz="6" w:space="0" w:color="000000"/>
              <w:right w:val="single" w:sz="6" w:space="0" w:color="000000"/>
            </w:tcBorders>
          </w:tcPr>
          <w:p w14:paraId="1E795936" w14:textId="7CCBF6C5" w:rsidR="000A2518" w:rsidRDefault="000A2518" w:rsidP="00137977">
            <w:pPr>
              <w:pStyle w:val="O2-indhold"/>
              <w:jc w:val="left"/>
            </w:pPr>
            <w:r>
              <w:t>Det er ledelsens ansvar</w:t>
            </w:r>
            <w:r w:rsidRPr="00476A36">
              <w:t xml:space="preserve"> </w:t>
            </w:r>
            <w:r>
              <w:t>at sikre en skriftlig instruks og korrekt opdatering af denne</w:t>
            </w:r>
          </w:p>
          <w:p w14:paraId="76FD7960" w14:textId="48000D90" w:rsidR="00B36E6A" w:rsidRPr="00476A36" w:rsidRDefault="000A2518" w:rsidP="00137977">
            <w:pPr>
              <w:pStyle w:val="O2-indhold"/>
              <w:jc w:val="left"/>
            </w:pPr>
            <w:r>
              <w:t xml:space="preserve">Det er personalets ansvar </w:t>
            </w:r>
            <w:r w:rsidR="0074108D">
              <w:t>at følge den skriftlig instruks</w:t>
            </w:r>
          </w:p>
          <w:p w14:paraId="56E358EB" w14:textId="558C2BDC" w:rsidR="000A2518" w:rsidRDefault="00B36E6A" w:rsidP="00137977">
            <w:pPr>
              <w:pStyle w:val="O2-indhold"/>
              <w:jc w:val="left"/>
            </w:pPr>
            <w:r>
              <w:t>Støttepersonen kan være nærmeste pårørende</w:t>
            </w:r>
            <w:r w:rsidR="00427139">
              <w:t>,</w:t>
            </w:r>
            <w:r w:rsidR="008B5BAA">
              <w:t xml:space="preserve"> </w:t>
            </w:r>
            <w:r w:rsidR="00873EC1">
              <w:t>værge,</w:t>
            </w:r>
            <w:r w:rsidR="008B5BAA">
              <w:t xml:space="preserve"> </w:t>
            </w:r>
            <w:r w:rsidR="00427139">
              <w:t>h</w:t>
            </w:r>
            <w:r w:rsidR="00FA7404">
              <w:t>jemmeplejen, mestringsvejleder</w:t>
            </w:r>
            <w:r>
              <w:t xml:space="preserve"> etc. der støtt</w:t>
            </w:r>
            <w:r w:rsidR="0074108D">
              <w:t>er borger i forhold til sundhed</w:t>
            </w:r>
          </w:p>
        </w:tc>
      </w:tr>
      <w:tr w:rsidR="0014601B" w14:paraId="16AF5BC3" w14:textId="77777777" w:rsidTr="0014601B">
        <w:trPr>
          <w:trHeight w:val="782"/>
        </w:trPr>
        <w:tc>
          <w:tcPr>
            <w:tcW w:w="3359" w:type="dxa"/>
            <w:tcBorders>
              <w:top w:val="single" w:sz="6" w:space="0" w:color="000000"/>
              <w:left w:val="single" w:sz="6" w:space="0" w:color="000000"/>
              <w:bottom w:val="single" w:sz="6" w:space="0" w:color="000000"/>
              <w:right w:val="single" w:sz="6" w:space="0" w:color="000000"/>
            </w:tcBorders>
            <w:shd w:val="clear" w:color="auto" w:fill="EAF1DD"/>
          </w:tcPr>
          <w:p w14:paraId="55A338A2" w14:textId="77777777" w:rsidR="00E864F0" w:rsidRPr="00137977" w:rsidRDefault="00E864F0" w:rsidP="00137977">
            <w:pPr>
              <w:jc w:val="left"/>
              <w:rPr>
                <w:b/>
                <w:bCs/>
              </w:rPr>
            </w:pPr>
            <w:r w:rsidRPr="00137977">
              <w:rPr>
                <w:b/>
                <w:bCs/>
              </w:rPr>
              <w:t>Sådan etableres aftale om sundhedstjek.</w:t>
            </w:r>
          </w:p>
          <w:p w14:paraId="71C08F2B" w14:textId="77777777" w:rsidR="0014601B" w:rsidRPr="00137977" w:rsidRDefault="0014601B" w:rsidP="00137977">
            <w:pPr>
              <w:jc w:val="left"/>
              <w:rPr>
                <w:b/>
                <w:bCs/>
              </w:rPr>
            </w:pPr>
          </w:p>
        </w:tc>
        <w:tc>
          <w:tcPr>
            <w:tcW w:w="7307" w:type="dxa"/>
            <w:tcBorders>
              <w:top w:val="single" w:sz="6" w:space="0" w:color="000000"/>
              <w:left w:val="single" w:sz="6" w:space="0" w:color="000000"/>
              <w:bottom w:val="single" w:sz="6" w:space="0" w:color="000000"/>
              <w:right w:val="single" w:sz="6" w:space="0" w:color="000000"/>
            </w:tcBorders>
          </w:tcPr>
          <w:p w14:paraId="5D54D77C" w14:textId="56740C58" w:rsidR="0044419D" w:rsidRPr="0044419D" w:rsidRDefault="0044419D" w:rsidP="00137977">
            <w:pPr>
              <w:jc w:val="left"/>
            </w:pPr>
            <w:r w:rsidRPr="0044419D">
              <w:t>Lægen, støttepersonen eller borgeren kan alle tage initiativ til et sundhedstjek</w:t>
            </w:r>
          </w:p>
          <w:p w14:paraId="0341492E" w14:textId="508B93E1" w:rsidR="00873EC1" w:rsidRPr="00476A36" w:rsidRDefault="00873EC1" w:rsidP="00137977">
            <w:pPr>
              <w:pStyle w:val="O2-indhold"/>
              <w:jc w:val="left"/>
            </w:pPr>
            <w:r w:rsidRPr="00476A36">
              <w:t xml:space="preserve">Støttepersonen </w:t>
            </w:r>
            <w:r w:rsidR="00EB2E84" w:rsidRPr="00476A36">
              <w:t>motiverer borger</w:t>
            </w:r>
            <w:r w:rsidRPr="00476A36">
              <w:t xml:space="preserve"> til at tage kontakt til sin praktiserende læge i den måned, hvor borgeren har fødselsdag, for</w:t>
            </w:r>
            <w:r w:rsidR="0074108D" w:rsidRPr="00476A36">
              <w:t xml:space="preserve"> at aftale tid til sundhedstjek</w:t>
            </w:r>
          </w:p>
          <w:p w14:paraId="10909BA2" w14:textId="3D0A63A3" w:rsidR="008D3C01" w:rsidRPr="008D3C01" w:rsidRDefault="008D3C01" w:rsidP="00137977">
            <w:pPr>
              <w:pStyle w:val="O2-indhold"/>
              <w:jc w:val="left"/>
            </w:pPr>
            <w:r w:rsidRPr="00476A36">
              <w:t>Lægen er forpligtiget til at foretage en opsøgende indsats over for en række borgere med psykisk sygdom og tilbyde en fokuseret somatisk undersøgelse som led i en konsultation</w:t>
            </w:r>
          </w:p>
        </w:tc>
      </w:tr>
      <w:tr w:rsidR="00175A9E" w14:paraId="717FAF98" w14:textId="77777777" w:rsidTr="0014601B">
        <w:trPr>
          <w:trHeight w:val="782"/>
        </w:trPr>
        <w:tc>
          <w:tcPr>
            <w:tcW w:w="3359" w:type="dxa"/>
            <w:tcBorders>
              <w:top w:val="single" w:sz="6" w:space="0" w:color="000000"/>
              <w:left w:val="single" w:sz="6" w:space="0" w:color="000000"/>
              <w:bottom w:val="single" w:sz="6" w:space="0" w:color="000000"/>
              <w:right w:val="single" w:sz="6" w:space="0" w:color="000000"/>
            </w:tcBorders>
            <w:shd w:val="clear" w:color="auto" w:fill="EAF1DD"/>
          </w:tcPr>
          <w:p w14:paraId="323EC1D7" w14:textId="5F0CA265" w:rsidR="00175A9E" w:rsidRPr="00137977" w:rsidRDefault="00175A9E" w:rsidP="00137977">
            <w:pPr>
              <w:jc w:val="left"/>
              <w:rPr>
                <w:b/>
                <w:bCs/>
              </w:rPr>
            </w:pPr>
            <w:r w:rsidRPr="00137977">
              <w:rPr>
                <w:b/>
                <w:bCs/>
              </w:rPr>
              <w:t>Sundhedstjek hvor lægen tager teten.</w:t>
            </w:r>
          </w:p>
        </w:tc>
        <w:tc>
          <w:tcPr>
            <w:tcW w:w="7307" w:type="dxa"/>
            <w:tcBorders>
              <w:top w:val="single" w:sz="6" w:space="0" w:color="000000"/>
              <w:left w:val="single" w:sz="6" w:space="0" w:color="000000"/>
              <w:bottom w:val="single" w:sz="6" w:space="0" w:color="000000"/>
              <w:right w:val="single" w:sz="6" w:space="0" w:color="000000"/>
            </w:tcBorders>
          </w:tcPr>
          <w:p w14:paraId="45B5CA28" w14:textId="257114CC" w:rsidR="00AE1B62" w:rsidRPr="0044419D" w:rsidRDefault="00AE1B62" w:rsidP="00137977">
            <w:pPr>
              <w:jc w:val="left"/>
            </w:pPr>
            <w:r w:rsidRPr="0044419D">
              <w:t>Det gælder for patienter med svær, kronisk psykisk sygdom, såsom skizofreni, andre psykoser, svære personlighedsforstyrrelser, bipolar sygdom, diagnosticeret psykisk sygdom (angst/depression/ADHD/ADD), hvor den praktiserende læge konkret vurderer, på baggrund af sygdommens alvor og patientens livsforhold (eksempelvis isolation eller manglende arbejdsmarkedstilknytning), at patienterne er i risiko for at have uopdagede somatiske sygdomme, misbrug og/eller betydelig mistrivsel, som patienten ikke selv kontakter almen praksis med.</w:t>
            </w:r>
          </w:p>
          <w:p w14:paraId="01D3C66A" w14:textId="313A07EE" w:rsidR="00AE1B62" w:rsidRDefault="00AE1B62" w:rsidP="00137977">
            <w:pPr>
              <w:jc w:val="left"/>
            </w:pPr>
            <w:r w:rsidRPr="0044419D">
              <w:lastRenderedPageBreak/>
              <w:t>Aftalen indebærer blandt andet, at lægen på baggrund af tilgængelige data om for eksempel medicin opretter en indkaldelsesliste og markerer i patienternes journaler, at patienten er i målgruppen for en fokuseret somatisk undersøgelse. Enten kontaktes patienten telefonisk, eller også aftales en undersøgelse, når patienten møder i anden anledning</w:t>
            </w:r>
          </w:p>
          <w:p w14:paraId="2C9F2CA0" w14:textId="1A4F1632" w:rsidR="0027756C" w:rsidRPr="0044419D" w:rsidRDefault="00000000" w:rsidP="00137977">
            <w:pPr>
              <w:spacing w:after="240"/>
              <w:jc w:val="left"/>
            </w:pPr>
            <w:hyperlink r:id="rId8" w:history="1">
              <w:r w:rsidR="004F00ED" w:rsidRPr="004F00ED">
                <w:rPr>
                  <w:rStyle w:val="Hyperlink"/>
                </w:rPr>
                <w:t>l</w:t>
              </w:r>
              <w:r w:rsidR="004F00ED">
                <w:rPr>
                  <w:rStyle w:val="Hyperlink"/>
                </w:rPr>
                <w:t>æ</w:t>
              </w:r>
              <w:r w:rsidR="004F00ED" w:rsidRPr="004F00ED">
                <w:rPr>
                  <w:rStyle w:val="Hyperlink"/>
                </w:rPr>
                <w:t>ger.dk/nye</w:t>
              </w:r>
              <w:r w:rsidR="004F00ED">
                <w:rPr>
                  <w:rStyle w:val="Hyperlink"/>
                </w:rPr>
                <w:t xml:space="preserve"> y</w:t>
              </w:r>
              <w:r w:rsidR="004F00ED" w:rsidRPr="004F00ED">
                <w:rPr>
                  <w:rStyle w:val="Hyperlink"/>
                </w:rPr>
                <w:t>delser_i_almenpraksis_ok22.pdf</w:t>
              </w:r>
            </w:hyperlink>
          </w:p>
        </w:tc>
      </w:tr>
      <w:tr w:rsidR="00701857" w14:paraId="4E5AA1CD" w14:textId="77777777" w:rsidTr="00D6124B">
        <w:trPr>
          <w:trHeight w:val="546"/>
        </w:trPr>
        <w:tc>
          <w:tcPr>
            <w:tcW w:w="3359" w:type="dxa"/>
            <w:tcBorders>
              <w:top w:val="single" w:sz="6" w:space="0" w:color="000000"/>
              <w:left w:val="single" w:sz="6" w:space="0" w:color="000000"/>
              <w:bottom w:val="single" w:sz="6" w:space="0" w:color="000000"/>
              <w:right w:val="single" w:sz="6" w:space="0" w:color="000000"/>
            </w:tcBorders>
            <w:shd w:val="clear" w:color="auto" w:fill="EAF1DD"/>
          </w:tcPr>
          <w:p w14:paraId="60600D5F" w14:textId="77777777" w:rsidR="00701857" w:rsidRPr="00137977" w:rsidRDefault="00E864F0" w:rsidP="00137977">
            <w:pPr>
              <w:jc w:val="left"/>
              <w:rPr>
                <w:b/>
                <w:bCs/>
              </w:rPr>
            </w:pPr>
            <w:r w:rsidRPr="00137977">
              <w:rPr>
                <w:b/>
                <w:bCs/>
              </w:rPr>
              <w:lastRenderedPageBreak/>
              <w:t xml:space="preserve">Sådan foregår </w:t>
            </w:r>
            <w:r w:rsidR="00701857" w:rsidRPr="00137977">
              <w:rPr>
                <w:b/>
                <w:bCs/>
              </w:rPr>
              <w:t>sundhedstjek</w:t>
            </w:r>
            <w:r w:rsidRPr="00137977">
              <w:rPr>
                <w:b/>
                <w:bCs/>
              </w:rPr>
              <w:t>ket</w:t>
            </w:r>
            <w:r w:rsidR="00701857" w:rsidRPr="00137977">
              <w:rPr>
                <w:b/>
                <w:bCs/>
              </w:rPr>
              <w:t>.</w:t>
            </w:r>
          </w:p>
          <w:p w14:paraId="5FEDE4EE" w14:textId="77777777" w:rsidR="00701857" w:rsidRPr="00137977" w:rsidRDefault="00701857" w:rsidP="00137977">
            <w:pPr>
              <w:jc w:val="left"/>
              <w:rPr>
                <w:b/>
                <w:bCs/>
              </w:rPr>
            </w:pPr>
          </w:p>
          <w:p w14:paraId="44745C1F" w14:textId="77777777" w:rsidR="00701857" w:rsidRPr="00137977" w:rsidRDefault="00701857" w:rsidP="00137977">
            <w:pPr>
              <w:jc w:val="left"/>
              <w:rPr>
                <w:b/>
                <w:bCs/>
              </w:rPr>
            </w:pPr>
          </w:p>
        </w:tc>
        <w:tc>
          <w:tcPr>
            <w:tcW w:w="7307" w:type="dxa"/>
            <w:tcBorders>
              <w:top w:val="single" w:sz="6" w:space="0" w:color="000000"/>
              <w:left w:val="single" w:sz="6" w:space="0" w:color="000000"/>
              <w:bottom w:val="single" w:sz="6" w:space="0" w:color="000000"/>
              <w:right w:val="single" w:sz="6" w:space="0" w:color="000000"/>
            </w:tcBorders>
          </w:tcPr>
          <w:p w14:paraId="3EFEED0D" w14:textId="77777777" w:rsidR="00873EC1" w:rsidRPr="00F440BA" w:rsidRDefault="00E864F0" w:rsidP="00137977">
            <w:pPr>
              <w:jc w:val="left"/>
            </w:pPr>
            <w:r w:rsidRPr="00F440BA">
              <w:t xml:space="preserve">Sundhedstjekket foregår </w:t>
            </w:r>
            <w:r w:rsidR="00873EC1" w:rsidRPr="00F440BA">
              <w:t>i lægens praksis, hvis ikke andet aftales.</w:t>
            </w:r>
          </w:p>
          <w:p w14:paraId="54D8D2C1" w14:textId="0D0E1A9E" w:rsidR="00E864F0" w:rsidRPr="00F440BA" w:rsidRDefault="00E864F0" w:rsidP="00137977">
            <w:pPr>
              <w:jc w:val="left"/>
            </w:pPr>
            <w:r w:rsidRPr="00F440BA">
              <w:t xml:space="preserve">Sundhedstjekket sker i et samarbejde mellem </w:t>
            </w:r>
            <w:r w:rsidR="00873EC1" w:rsidRPr="00F440BA">
              <w:t xml:space="preserve">borger </w:t>
            </w:r>
            <w:r w:rsidRPr="00F440BA">
              <w:t>og lægen. Særlige oplysning</w:t>
            </w:r>
            <w:r w:rsidR="00873EC1" w:rsidRPr="00F440BA">
              <w:t xml:space="preserve">er og opmærksomhedspunkter kan i samarbejde med støttepersonen </w:t>
            </w:r>
            <w:r w:rsidRPr="00F440BA">
              <w:t>gives til lægen inden besøget. Ved behov skal blodprøver være taget, så svar ligger klar på dagen.</w:t>
            </w:r>
          </w:p>
          <w:p w14:paraId="459D0AAD" w14:textId="77777777" w:rsidR="003F4BAC" w:rsidRPr="00F440BA" w:rsidRDefault="003F4BAC" w:rsidP="00137977">
            <w:pPr>
              <w:jc w:val="left"/>
            </w:pPr>
            <w:r w:rsidRPr="00F440BA">
              <w:t>Sundhedstjekket omfatter bl.a. helbredsundersøgelse, gennemgang og ajourføring af medicin, udarbejdelse af plan for indsats (for eksempel forebyggende, konkrete behandlingsindsatser eller henvisning), samt hvis relevant aftale om opfølgende kontakt og/eller faste kontroller.</w:t>
            </w:r>
          </w:p>
          <w:p w14:paraId="34AF73B4" w14:textId="5D4231DC" w:rsidR="003F4BAC" w:rsidRPr="00F440BA" w:rsidRDefault="003F4BAC" w:rsidP="00137977">
            <w:pPr>
              <w:jc w:val="left"/>
            </w:pPr>
            <w:r w:rsidRPr="00F440BA">
              <w:t>Sundhedstjek udføres i det omfang, det kan lade sig gøre. Selvom der er givet samtykke, kan nogle borgere modsætte sig blodprøvetagning og fysisk undersøgelse.</w:t>
            </w:r>
          </w:p>
          <w:p w14:paraId="1D1A1773" w14:textId="77777777" w:rsidR="00701857" w:rsidRPr="00D60B96" w:rsidRDefault="00701857" w:rsidP="00137977">
            <w:pPr>
              <w:jc w:val="left"/>
            </w:pPr>
            <w:r w:rsidRPr="00D60B96">
              <w:t>Et sundhedstjek består </w:t>
            </w:r>
            <w:r w:rsidR="000A591F" w:rsidRPr="00D60B96">
              <w:t xml:space="preserve">som udgangspunkt </w:t>
            </w:r>
            <w:r w:rsidRPr="00D60B96">
              <w:t>af tre elementer:</w:t>
            </w:r>
          </w:p>
          <w:p w14:paraId="0D024862" w14:textId="77777777" w:rsidR="00701857" w:rsidRPr="00E864F0" w:rsidRDefault="00701857" w:rsidP="00137977">
            <w:pPr>
              <w:pStyle w:val="O2-indhold"/>
              <w:jc w:val="left"/>
            </w:pPr>
            <w:r w:rsidRPr="00E864F0">
              <w:t xml:space="preserve">Borger bestiller tid ved egen læge til et sundhedstjek. Ved tidsbestillingen vil lægen/almen praksis informere om, hvor og hvornår der skal tages </w:t>
            </w:r>
            <w:r w:rsidR="0074108D">
              <w:t>blodprøve inden sundhedstjekket</w:t>
            </w:r>
          </w:p>
          <w:p w14:paraId="2B9F9485" w14:textId="77777777" w:rsidR="00701857" w:rsidRPr="00E864F0" w:rsidRDefault="00701857" w:rsidP="00137977">
            <w:pPr>
              <w:pStyle w:val="O2-indhold"/>
              <w:jc w:val="left"/>
            </w:pPr>
            <w:r w:rsidRPr="00E864F0">
              <w:t>Borgerens for</w:t>
            </w:r>
            <w:r w:rsidR="00E864F0" w:rsidRPr="00E864F0">
              <w:t>beredelse til sundhedstjekket (</w:t>
            </w:r>
            <w:r w:rsidR="00EB2E84">
              <w:t xml:space="preserve">eventuelt </w:t>
            </w:r>
            <w:r w:rsidRPr="00E864F0">
              <w:t xml:space="preserve">i samarbejde med </w:t>
            </w:r>
            <w:r w:rsidR="00EB2E84">
              <w:t>støtte</w:t>
            </w:r>
            <w:r w:rsidRPr="00E864F0">
              <w:t>person</w:t>
            </w:r>
            <w:r w:rsidR="00EB2E84">
              <w:t>en</w:t>
            </w:r>
            <w:r w:rsidR="00E864F0" w:rsidRPr="00E864F0">
              <w:t xml:space="preserve">) </w:t>
            </w:r>
            <w:r w:rsidRPr="00E864F0">
              <w:t>og selve sun</w:t>
            </w:r>
            <w:r w:rsidR="0074108D">
              <w:t>dhedstjekket foretages af lægen</w:t>
            </w:r>
          </w:p>
          <w:p w14:paraId="24117FA5" w14:textId="038B5C7B" w:rsidR="00476A36" w:rsidRPr="00701857" w:rsidRDefault="00701857" w:rsidP="00137977">
            <w:pPr>
              <w:pStyle w:val="O2-indhold"/>
              <w:spacing w:after="240"/>
              <w:jc w:val="left"/>
            </w:pPr>
            <w:r w:rsidRPr="00E864F0">
              <w:t>Udarbejdelse af en aftale/pl</w:t>
            </w:r>
            <w:r w:rsidR="0074108D">
              <w:t>an om fremtidig sundhedsindsats</w:t>
            </w:r>
          </w:p>
        </w:tc>
      </w:tr>
      <w:tr w:rsidR="0014601B" w14:paraId="5D3D20D0" w14:textId="77777777" w:rsidTr="0014601B">
        <w:trPr>
          <w:trHeight w:val="1246"/>
        </w:trPr>
        <w:tc>
          <w:tcPr>
            <w:tcW w:w="3359" w:type="dxa"/>
            <w:tcBorders>
              <w:top w:val="single" w:sz="6" w:space="0" w:color="000000"/>
              <w:left w:val="single" w:sz="6" w:space="0" w:color="000000"/>
              <w:bottom w:val="single" w:sz="6" w:space="0" w:color="000000"/>
              <w:right w:val="single" w:sz="6" w:space="0" w:color="000000"/>
            </w:tcBorders>
            <w:shd w:val="clear" w:color="auto" w:fill="EAF1DD"/>
            <w:hideMark/>
          </w:tcPr>
          <w:p w14:paraId="05FE0C8B" w14:textId="77777777" w:rsidR="000A2518" w:rsidRPr="00137977" w:rsidRDefault="00873EC1" w:rsidP="00137977">
            <w:pPr>
              <w:jc w:val="left"/>
              <w:rPr>
                <w:b/>
                <w:bCs/>
              </w:rPr>
            </w:pPr>
            <w:r w:rsidRPr="00137977">
              <w:rPr>
                <w:b/>
                <w:bCs/>
              </w:rPr>
              <w:t xml:space="preserve">Støttepersonens eventuelle </w:t>
            </w:r>
            <w:r w:rsidR="000A2518" w:rsidRPr="00137977">
              <w:rPr>
                <w:b/>
                <w:bCs/>
              </w:rPr>
              <w:t>opgaver i forbindelse med sundhedstjek af borgeren</w:t>
            </w:r>
          </w:p>
        </w:tc>
        <w:tc>
          <w:tcPr>
            <w:tcW w:w="7307" w:type="dxa"/>
            <w:tcBorders>
              <w:top w:val="single" w:sz="6" w:space="0" w:color="000000"/>
              <w:left w:val="single" w:sz="6" w:space="0" w:color="000000"/>
              <w:bottom w:val="single" w:sz="6" w:space="0" w:color="000000"/>
              <w:right w:val="single" w:sz="6" w:space="0" w:color="000000"/>
            </w:tcBorders>
          </w:tcPr>
          <w:p w14:paraId="281F54BC" w14:textId="26710F54" w:rsidR="00D64F89" w:rsidRPr="0044419D" w:rsidRDefault="00873EC1" w:rsidP="00137977">
            <w:pPr>
              <w:pStyle w:val="O2-indhold"/>
              <w:jc w:val="left"/>
            </w:pPr>
            <w:r w:rsidRPr="00476A36">
              <w:t xml:space="preserve">Støttepersonen </w:t>
            </w:r>
            <w:r w:rsidR="00EB2E84" w:rsidRPr="00476A36">
              <w:t>motivere</w:t>
            </w:r>
            <w:r w:rsidR="00A260DA" w:rsidRPr="00476A36">
              <w:t>r</w:t>
            </w:r>
            <w:r w:rsidR="00EB2E84" w:rsidRPr="00476A36">
              <w:t xml:space="preserve"> borger til at få foretaget et sundhedstjek ved egen læge</w:t>
            </w:r>
            <w:r w:rsidR="000A2518" w:rsidRPr="00476A36">
              <w:t xml:space="preserve">, </w:t>
            </w:r>
            <w:r w:rsidRPr="00476A36">
              <w:t>som dokumenteres i journalen</w:t>
            </w:r>
          </w:p>
          <w:p w14:paraId="18A3C159" w14:textId="5A65CB3A" w:rsidR="00EB2E84" w:rsidRDefault="00EB2E84" w:rsidP="00137977">
            <w:pPr>
              <w:pStyle w:val="O2-indhold"/>
              <w:jc w:val="left"/>
            </w:pPr>
            <w:r w:rsidRPr="0044419D">
              <w:t xml:space="preserve">Støttepersonen kan hjælpe borger med forberedelse af sundhedstjekket så </w:t>
            </w:r>
            <w:r w:rsidR="00701857" w:rsidRPr="0044419D">
              <w:t>sundhedstjekket får størst mulig effekt</w:t>
            </w:r>
            <w:r w:rsidR="0044419D" w:rsidRPr="0044419D">
              <w:t xml:space="preserve">. </w:t>
            </w:r>
            <w:r w:rsidRPr="0044419D">
              <w:t xml:space="preserve">Det er i den forbindelse </w:t>
            </w:r>
            <w:r w:rsidR="0044419D" w:rsidRPr="0044419D">
              <w:t>vigtigt a</w:t>
            </w:r>
            <w:r w:rsidRPr="0044419D">
              <w:t xml:space="preserve">t </w:t>
            </w:r>
            <w:r w:rsidR="00701857" w:rsidRPr="0044419D">
              <w:t>komme hele vejen omkring b</w:t>
            </w:r>
            <w:r w:rsidR="00E864F0" w:rsidRPr="0044419D">
              <w:t>orge</w:t>
            </w:r>
            <w:r w:rsidR="00701857" w:rsidRPr="0044419D">
              <w:t xml:space="preserve">rens </w:t>
            </w:r>
            <w:r w:rsidR="00C16E1F" w:rsidRPr="0044419D">
              <w:t>sundhedstilstand, så uopdagede sygdomme</w:t>
            </w:r>
            <w:r w:rsidR="00701857" w:rsidRPr="0044419D">
              <w:t xml:space="preserve"> bliver fundet og så forebyggelse og behandling ka</w:t>
            </w:r>
            <w:r w:rsidRPr="0044419D">
              <w:t>n starte så tidligt som muligt</w:t>
            </w:r>
          </w:p>
        </w:tc>
      </w:tr>
      <w:tr w:rsidR="00703C87" w14:paraId="70FAF92C" w14:textId="77777777" w:rsidTr="0044419D">
        <w:trPr>
          <w:trHeight w:val="1094"/>
        </w:trPr>
        <w:tc>
          <w:tcPr>
            <w:tcW w:w="3359" w:type="dxa"/>
            <w:tcBorders>
              <w:top w:val="single" w:sz="6" w:space="0" w:color="000000"/>
              <w:left w:val="single" w:sz="6" w:space="0" w:color="000000"/>
              <w:bottom w:val="single" w:sz="6" w:space="0" w:color="000000"/>
              <w:right w:val="single" w:sz="6" w:space="0" w:color="000000"/>
            </w:tcBorders>
            <w:shd w:val="clear" w:color="auto" w:fill="EAF1DD"/>
          </w:tcPr>
          <w:p w14:paraId="0D20AF38" w14:textId="506D51D2" w:rsidR="00703C87" w:rsidRPr="00137977" w:rsidRDefault="00703C87" w:rsidP="00703C87">
            <w:pPr>
              <w:jc w:val="left"/>
              <w:rPr>
                <w:b/>
                <w:bCs/>
              </w:rPr>
            </w:pPr>
            <w:r w:rsidRPr="00137977">
              <w:rPr>
                <w:b/>
                <w:bCs/>
              </w:rPr>
              <w:t>Dokumentation af tilbud om sundhedstjek</w:t>
            </w:r>
          </w:p>
        </w:tc>
        <w:tc>
          <w:tcPr>
            <w:tcW w:w="7307" w:type="dxa"/>
            <w:tcBorders>
              <w:top w:val="single" w:sz="6" w:space="0" w:color="000000"/>
              <w:left w:val="single" w:sz="6" w:space="0" w:color="000000"/>
              <w:bottom w:val="single" w:sz="6" w:space="0" w:color="000000"/>
              <w:right w:val="single" w:sz="6" w:space="0" w:color="000000"/>
            </w:tcBorders>
          </w:tcPr>
          <w:p w14:paraId="69680219" w14:textId="7AEE54CF" w:rsidR="00D472D2" w:rsidRDefault="00D472D2" w:rsidP="00703C87">
            <w:pPr>
              <w:pStyle w:val="O2-indhold"/>
              <w:numPr>
                <w:ilvl w:val="0"/>
                <w:numId w:val="0"/>
              </w:numPr>
              <w:jc w:val="left"/>
            </w:pPr>
            <w:r>
              <w:t xml:space="preserve">Borgerens sundhedstjek skal </w:t>
            </w:r>
            <w:r w:rsidRPr="000118EB">
              <w:rPr>
                <w:i/>
                <w:iCs/>
              </w:rPr>
              <w:t>altid</w:t>
            </w:r>
            <w:r>
              <w:t xml:space="preserve"> registreres – også selvom at </w:t>
            </w:r>
            <w:r w:rsidR="000118EB">
              <w:t>sundhedstjekket</w:t>
            </w:r>
            <w:r>
              <w:t xml:space="preserve"> forløber uden tilbuddet</w:t>
            </w:r>
            <w:r w:rsidR="000118EB">
              <w:t>s involvering</w:t>
            </w:r>
            <w:r w:rsidR="00464702">
              <w:t>. Det kan</w:t>
            </w:r>
            <w:r w:rsidR="000118EB">
              <w:t xml:space="preserve"> </w:t>
            </w:r>
            <w:r>
              <w:t>fx</w:t>
            </w:r>
            <w:r w:rsidR="000118EB">
              <w:t xml:space="preserve"> være </w:t>
            </w:r>
            <w:r>
              <w:t xml:space="preserve">lægen eller borgeren </w:t>
            </w:r>
            <w:r w:rsidR="000118EB">
              <w:t xml:space="preserve">selv, der har </w:t>
            </w:r>
            <w:r w:rsidR="00464702">
              <w:t>stået for</w:t>
            </w:r>
            <w:r w:rsidR="000118EB">
              <w:t xml:space="preserve"> sundhedstjekkets gennemførelse.</w:t>
            </w:r>
          </w:p>
          <w:p w14:paraId="32A3DC28" w14:textId="70B7FB69" w:rsidR="00D472D2" w:rsidRPr="00D472D2" w:rsidRDefault="00464702" w:rsidP="00703C87">
            <w:pPr>
              <w:pStyle w:val="O2-indhold"/>
              <w:numPr>
                <w:ilvl w:val="0"/>
                <w:numId w:val="0"/>
              </w:numPr>
              <w:jc w:val="left"/>
              <w:rPr>
                <w:u w:val="single"/>
              </w:rPr>
            </w:pPr>
            <w:r>
              <w:rPr>
                <w:u w:val="single"/>
              </w:rPr>
              <w:t>Registrering af sundhedstjek</w:t>
            </w:r>
            <w:r w:rsidR="00D472D2" w:rsidRPr="00D472D2">
              <w:rPr>
                <w:u w:val="single"/>
              </w:rPr>
              <w:t>:</w:t>
            </w:r>
          </w:p>
          <w:p w14:paraId="479736DA" w14:textId="158D50F8" w:rsidR="00703C87" w:rsidRPr="00086A92" w:rsidRDefault="00703C87" w:rsidP="00703C87">
            <w:pPr>
              <w:pStyle w:val="O2-indhold"/>
              <w:numPr>
                <w:ilvl w:val="0"/>
                <w:numId w:val="0"/>
              </w:numPr>
              <w:jc w:val="left"/>
            </w:pPr>
            <w:r w:rsidRPr="00086A92">
              <w:t>Under fanen</w:t>
            </w:r>
            <w:r w:rsidRPr="00086A92">
              <w:rPr>
                <w:i/>
                <w:iCs/>
              </w:rPr>
              <w:t xml:space="preserve"> </w:t>
            </w:r>
            <w:r w:rsidR="002509B5" w:rsidRPr="00086A92">
              <w:rPr>
                <w:i/>
                <w:iCs/>
              </w:rPr>
              <w:t>”</w:t>
            </w:r>
            <w:r w:rsidRPr="00086A92">
              <w:rPr>
                <w:i/>
                <w:iCs/>
              </w:rPr>
              <w:t>Ydelser</w:t>
            </w:r>
            <w:r w:rsidR="002509B5" w:rsidRPr="00086A92">
              <w:rPr>
                <w:i/>
                <w:iCs/>
              </w:rPr>
              <w:t>”</w:t>
            </w:r>
            <w:r w:rsidRPr="00086A92">
              <w:t xml:space="preserve"> i venstre side af skærmbilledet dokumenteres</w:t>
            </w:r>
            <w:r w:rsidR="002509B5" w:rsidRPr="00086A92">
              <w:t xml:space="preserve"> om borgeren har </w:t>
            </w:r>
            <w:r w:rsidR="002509B5" w:rsidRPr="00AB7E75">
              <w:rPr>
                <w:i/>
                <w:iCs/>
              </w:rPr>
              <w:t>fået</w:t>
            </w:r>
            <w:r w:rsidRPr="00AB7E75">
              <w:rPr>
                <w:i/>
                <w:iCs/>
              </w:rPr>
              <w:t xml:space="preserve"> tilbud om</w:t>
            </w:r>
            <w:r w:rsidRPr="00086A92">
              <w:t xml:space="preserve"> sundhedstjek</w:t>
            </w:r>
            <w:r w:rsidR="002509B5" w:rsidRPr="00086A92">
              <w:t xml:space="preserve">, herunder støtte til at gennemføre det, og om sundhedstjekket </w:t>
            </w:r>
            <w:r w:rsidR="002509B5" w:rsidRPr="00AB7E75">
              <w:rPr>
                <w:i/>
                <w:iCs/>
              </w:rPr>
              <w:t>reelt er gennemført</w:t>
            </w:r>
          </w:p>
          <w:p w14:paraId="0F20279C" w14:textId="37E129F5" w:rsidR="00703C87" w:rsidRPr="00086A92" w:rsidRDefault="00703C87" w:rsidP="00703C87">
            <w:pPr>
              <w:pStyle w:val="O2-indhold"/>
              <w:numPr>
                <w:ilvl w:val="0"/>
                <w:numId w:val="27"/>
              </w:numPr>
              <w:jc w:val="left"/>
            </w:pPr>
            <w:r w:rsidRPr="00086A92">
              <w:t xml:space="preserve">Vælg </w:t>
            </w:r>
            <w:r w:rsidRPr="00086A92">
              <w:rPr>
                <w:i/>
                <w:iCs/>
              </w:rPr>
              <w:t>”</w:t>
            </w:r>
            <w:r w:rsidR="00546CF5">
              <w:rPr>
                <w:i/>
                <w:iCs/>
              </w:rPr>
              <w:t xml:space="preserve"> </w:t>
            </w:r>
            <w:r w:rsidRPr="00086A92">
              <w:rPr>
                <w:i/>
                <w:iCs/>
              </w:rPr>
              <w:t>+Tildel ydelse”</w:t>
            </w:r>
          </w:p>
          <w:p w14:paraId="5F9C3A0D" w14:textId="3E5FEB5E" w:rsidR="00703C87" w:rsidRPr="00086A92" w:rsidRDefault="00703C87" w:rsidP="002509B5">
            <w:pPr>
              <w:pStyle w:val="O2-indhold"/>
              <w:numPr>
                <w:ilvl w:val="1"/>
                <w:numId w:val="27"/>
              </w:numPr>
              <w:spacing w:line="256" w:lineRule="auto"/>
              <w:jc w:val="left"/>
              <w:rPr>
                <w:lang w:eastAsia="en-US"/>
              </w:rPr>
            </w:pPr>
            <w:r w:rsidRPr="00086A92">
              <w:rPr>
                <w:lang w:eastAsia="en-US"/>
              </w:rPr>
              <w:t xml:space="preserve">Vælg ydelsen </w:t>
            </w:r>
            <w:r w:rsidR="00915A2D" w:rsidRPr="00086A92">
              <w:rPr>
                <w:lang w:eastAsia="en-US"/>
              </w:rPr>
              <w:t xml:space="preserve">1) </w:t>
            </w:r>
            <w:r w:rsidRPr="00086A92">
              <w:rPr>
                <w:lang w:eastAsia="en-US"/>
              </w:rPr>
              <w:t>”</w:t>
            </w:r>
            <w:r w:rsidRPr="00086A92">
              <w:rPr>
                <w:i/>
                <w:iCs/>
                <w:lang w:eastAsia="en-US"/>
              </w:rPr>
              <w:t>Tilbudt støtte til bestilling af, forberedelse og ledsagelse til sundhedstjek ved praktiserende læge</w:t>
            </w:r>
            <w:r w:rsidRPr="00086A92">
              <w:rPr>
                <w:lang w:eastAsia="en-US"/>
              </w:rPr>
              <w:t xml:space="preserve">” </w:t>
            </w:r>
            <w:r w:rsidR="002509B5" w:rsidRPr="00086A92">
              <w:rPr>
                <w:lang w:eastAsia="en-US"/>
              </w:rPr>
              <w:t xml:space="preserve"> </w:t>
            </w:r>
            <w:r w:rsidR="002509B5" w:rsidRPr="00086A92">
              <w:rPr>
                <w:lang w:eastAsia="en-US"/>
              </w:rPr>
              <w:lastRenderedPageBreak/>
              <w:t xml:space="preserve">eller 2) </w:t>
            </w:r>
            <w:r w:rsidR="002509B5" w:rsidRPr="00546CF5">
              <w:rPr>
                <w:i/>
                <w:iCs/>
                <w:lang w:eastAsia="en-US"/>
              </w:rPr>
              <w:t>”Sundhedstjek”</w:t>
            </w:r>
            <w:r w:rsidR="002509B5" w:rsidRPr="00086A92">
              <w:rPr>
                <w:lang w:eastAsia="en-US"/>
              </w:rPr>
              <w:t>, når borgeren har fået foretaget et sundhedstjek ved praktiserende læge. Udfyld de resterende felter.</w:t>
            </w:r>
          </w:p>
          <w:p w14:paraId="076BEF46" w14:textId="77777777" w:rsidR="00703C87" w:rsidRPr="00086A92" w:rsidRDefault="00703C87" w:rsidP="00464702">
            <w:pPr>
              <w:pStyle w:val="O2-indhold"/>
              <w:numPr>
                <w:ilvl w:val="1"/>
                <w:numId w:val="28"/>
              </w:numPr>
              <w:spacing w:line="256" w:lineRule="auto"/>
              <w:jc w:val="left"/>
              <w:rPr>
                <w:lang w:eastAsia="en-US"/>
              </w:rPr>
            </w:pPr>
            <w:r w:rsidRPr="00086A92">
              <w:rPr>
                <w:lang w:eastAsia="en-US"/>
              </w:rPr>
              <w:t>Evt. kommentar/tilbagemeldinger noteres i kommentarfeltet</w:t>
            </w:r>
          </w:p>
          <w:p w14:paraId="52C70F25" w14:textId="00D54088" w:rsidR="00703C87" w:rsidRPr="00086A92" w:rsidRDefault="00703C87" w:rsidP="00703C87">
            <w:pPr>
              <w:pStyle w:val="O2-indhold"/>
              <w:numPr>
                <w:ilvl w:val="0"/>
                <w:numId w:val="26"/>
              </w:numPr>
              <w:spacing w:line="256" w:lineRule="auto"/>
              <w:ind w:left="1440"/>
              <w:jc w:val="left"/>
              <w:rPr>
                <w:lang w:eastAsia="en-US"/>
              </w:rPr>
            </w:pPr>
            <w:r w:rsidRPr="00086A92">
              <w:rPr>
                <w:lang w:eastAsia="en-US"/>
              </w:rPr>
              <w:t xml:space="preserve">Opret ydelsen med </w:t>
            </w:r>
            <w:r w:rsidR="00915A2D" w:rsidRPr="00086A92">
              <w:rPr>
                <w:lang w:eastAsia="en-US"/>
              </w:rPr>
              <w:t xml:space="preserve">startdato </w:t>
            </w:r>
            <w:r w:rsidRPr="00086A92">
              <w:rPr>
                <w:lang w:eastAsia="en-US"/>
              </w:rPr>
              <w:t xml:space="preserve">d.d. og slut dato </w:t>
            </w:r>
            <w:r w:rsidR="00915A2D" w:rsidRPr="00086A92">
              <w:rPr>
                <w:lang w:eastAsia="en-US"/>
              </w:rPr>
              <w:t>den efterfølgende dag</w:t>
            </w:r>
            <w:r w:rsidRPr="00086A92">
              <w:rPr>
                <w:lang w:eastAsia="en-US"/>
              </w:rPr>
              <w:t>.</w:t>
            </w:r>
          </w:p>
          <w:p w14:paraId="4B98A860" w14:textId="2433916E" w:rsidR="0052227F" w:rsidRPr="00B356F1" w:rsidRDefault="0052227F" w:rsidP="0052227F">
            <w:pPr>
              <w:pStyle w:val="O2-indhold"/>
              <w:numPr>
                <w:ilvl w:val="0"/>
                <w:numId w:val="26"/>
              </w:numPr>
              <w:spacing w:line="256" w:lineRule="auto"/>
              <w:ind w:left="1440"/>
              <w:jc w:val="left"/>
              <w:rPr>
                <w:lang w:eastAsia="en-US"/>
              </w:rPr>
            </w:pPr>
            <w:r w:rsidRPr="00B356F1">
              <w:rPr>
                <w:lang w:eastAsia="en-US"/>
              </w:rPr>
              <w:t>Afslutningsårsag</w:t>
            </w:r>
            <w:r>
              <w:rPr>
                <w:lang w:eastAsia="en-US"/>
              </w:rPr>
              <w:t>: Vælg</w:t>
            </w:r>
            <w:r w:rsidRPr="00B356F1">
              <w:rPr>
                <w:lang w:eastAsia="en-US"/>
              </w:rPr>
              <w:t xml:space="preserve"> </w:t>
            </w:r>
            <w:r w:rsidRPr="00B356F1">
              <w:rPr>
                <w:i/>
                <w:iCs/>
                <w:lang w:eastAsia="en-US"/>
              </w:rPr>
              <w:t>”forløb gennemført”</w:t>
            </w:r>
            <w:r>
              <w:rPr>
                <w:i/>
                <w:iCs/>
                <w:lang w:eastAsia="en-US"/>
              </w:rPr>
              <w:t>. Dette</w:t>
            </w:r>
            <w:r w:rsidRPr="00B356F1">
              <w:rPr>
                <w:i/>
                <w:iCs/>
                <w:lang w:eastAsia="en-US"/>
              </w:rPr>
              <w:t xml:space="preserve"> vælges uanset om de</w:t>
            </w:r>
            <w:r>
              <w:rPr>
                <w:i/>
                <w:iCs/>
                <w:lang w:eastAsia="en-US"/>
              </w:rPr>
              <w:t>t</w:t>
            </w:r>
            <w:r w:rsidRPr="00B356F1">
              <w:rPr>
                <w:i/>
                <w:iCs/>
                <w:lang w:eastAsia="en-US"/>
              </w:rPr>
              <w:t xml:space="preserve"> er tilbud om sundhedstjek til borgeren, der dokumenteres, eller at borgeren har fået foretaget et sundhedstjek ved praktiserende læge.</w:t>
            </w:r>
          </w:p>
          <w:p w14:paraId="1774A56D" w14:textId="6CA8A80D" w:rsidR="00703C87" w:rsidRDefault="00703C87" w:rsidP="00703C87">
            <w:r>
              <w:rPr>
                <w:noProof/>
                <w:lang w:eastAsia="en-US"/>
              </w:rPr>
              <w:drawing>
                <wp:anchor distT="0" distB="0" distL="114300" distR="114300" simplePos="0" relativeHeight="251660288" behindDoc="0" locked="0" layoutInCell="1" allowOverlap="1" wp14:anchorId="760C8D8B" wp14:editId="51383771">
                  <wp:simplePos x="0" y="0"/>
                  <wp:positionH relativeFrom="column">
                    <wp:posOffset>367030</wp:posOffset>
                  </wp:positionH>
                  <wp:positionV relativeFrom="paragraph">
                    <wp:posOffset>128270</wp:posOffset>
                  </wp:positionV>
                  <wp:extent cx="3803650" cy="1579880"/>
                  <wp:effectExtent l="0" t="0" r="6350" b="1270"/>
                  <wp:wrapTopAndBottom/>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03650" cy="1579880"/>
                          </a:xfrm>
                          <a:prstGeom prst="rect">
                            <a:avLst/>
                          </a:prstGeom>
                          <a:noFill/>
                        </pic:spPr>
                      </pic:pic>
                    </a:graphicData>
                  </a:graphic>
                  <wp14:sizeRelH relativeFrom="margin">
                    <wp14:pctWidth>0</wp14:pctWidth>
                  </wp14:sizeRelH>
                  <wp14:sizeRelV relativeFrom="page">
                    <wp14:pctHeight>0</wp14:pctHeight>
                  </wp14:sizeRelV>
                </wp:anchor>
              </w:drawing>
            </w:r>
          </w:p>
        </w:tc>
      </w:tr>
      <w:tr w:rsidR="00703C87" w14:paraId="2A5590F6" w14:textId="77777777" w:rsidTr="0014601B">
        <w:trPr>
          <w:trHeight w:val="829"/>
        </w:trPr>
        <w:tc>
          <w:tcPr>
            <w:tcW w:w="3359" w:type="dxa"/>
            <w:tcBorders>
              <w:top w:val="single" w:sz="6" w:space="0" w:color="000000"/>
              <w:left w:val="single" w:sz="6" w:space="0" w:color="000000"/>
              <w:bottom w:val="single" w:sz="6" w:space="0" w:color="000000"/>
              <w:right w:val="single" w:sz="6" w:space="0" w:color="000000"/>
            </w:tcBorders>
            <w:shd w:val="clear" w:color="auto" w:fill="EAF1DD"/>
            <w:hideMark/>
          </w:tcPr>
          <w:p w14:paraId="6735FE20" w14:textId="77777777" w:rsidR="00703C87" w:rsidRPr="00137977" w:rsidRDefault="00703C87" w:rsidP="00703C87">
            <w:pPr>
              <w:jc w:val="left"/>
              <w:rPr>
                <w:b/>
                <w:bCs/>
              </w:rPr>
            </w:pPr>
            <w:r w:rsidRPr="00137977">
              <w:rPr>
                <w:b/>
                <w:bCs/>
              </w:rPr>
              <w:lastRenderedPageBreak/>
              <w:t>De tre faser i sundhedstjek</w:t>
            </w:r>
          </w:p>
          <w:p w14:paraId="1D62F642" w14:textId="77777777" w:rsidR="00703C87" w:rsidRPr="00137977" w:rsidRDefault="00703C87" w:rsidP="00703C87">
            <w:pPr>
              <w:jc w:val="left"/>
              <w:rPr>
                <w:b/>
                <w:bCs/>
              </w:rPr>
            </w:pPr>
          </w:p>
        </w:tc>
        <w:tc>
          <w:tcPr>
            <w:tcW w:w="7307" w:type="dxa"/>
            <w:tcBorders>
              <w:top w:val="single" w:sz="6" w:space="0" w:color="000000"/>
              <w:left w:val="single" w:sz="6" w:space="0" w:color="000000"/>
              <w:bottom w:val="single" w:sz="6" w:space="0" w:color="000000"/>
              <w:right w:val="single" w:sz="6" w:space="0" w:color="000000"/>
            </w:tcBorders>
          </w:tcPr>
          <w:p w14:paraId="788DF347" w14:textId="77777777" w:rsidR="00703C87" w:rsidRPr="00F440BA" w:rsidRDefault="00703C87" w:rsidP="00703C87">
            <w:pPr>
              <w:jc w:val="left"/>
              <w:rPr>
                <w:b/>
                <w:bCs/>
              </w:rPr>
            </w:pPr>
            <w:r w:rsidRPr="00F440BA">
              <w:rPr>
                <w:b/>
                <w:bCs/>
              </w:rPr>
              <w:t>Første fase – forberedelsesfasen</w:t>
            </w:r>
          </w:p>
          <w:p w14:paraId="78BAD88F" w14:textId="77777777" w:rsidR="00703C87" w:rsidRPr="00D60B96" w:rsidRDefault="00703C87" w:rsidP="00703C87">
            <w:pPr>
              <w:jc w:val="left"/>
            </w:pPr>
            <w:r w:rsidRPr="00D60B96">
              <w:t>Forberedelsesfasen består af en tidsbestilling hos egen læge, en blodprøve, der tages inden tjekket hos lægen, og et forberedelsesspørgeskema, som den enkelte borger kan besvare alene eller sammen med støttepersonen. På baggrund af skemaet kan lægen vurdere, hvorvidt svarene giver anledning til yderligere undersøgelser.</w:t>
            </w:r>
          </w:p>
          <w:p w14:paraId="6F5F0311" w14:textId="1DACB8E3" w:rsidR="00703C87" w:rsidRPr="00A61779" w:rsidRDefault="00703C87" w:rsidP="00703C87">
            <w:pPr>
              <w:jc w:val="left"/>
            </w:pPr>
            <w:r w:rsidRPr="00D60B96">
              <w:t>Relevansen af undersøgelserne afhænger af aktuelle problemstillinger og kendskab til borgeren.</w:t>
            </w:r>
          </w:p>
          <w:p w14:paraId="77AF70EE" w14:textId="77777777" w:rsidR="00703C87" w:rsidRPr="00F440BA" w:rsidRDefault="00703C87" w:rsidP="00703C87">
            <w:pPr>
              <w:jc w:val="left"/>
              <w:rPr>
                <w:b/>
                <w:bCs/>
              </w:rPr>
            </w:pPr>
            <w:r w:rsidRPr="00F440BA">
              <w:rPr>
                <w:b/>
                <w:bCs/>
              </w:rPr>
              <w:t>Anden fase – besøg hos praktiserende læge</w:t>
            </w:r>
          </w:p>
          <w:p w14:paraId="3FDE8734" w14:textId="063DAF90" w:rsidR="00703C87" w:rsidRPr="00345B05" w:rsidRDefault="00703C87" w:rsidP="00703C87">
            <w:pPr>
              <w:jc w:val="left"/>
            </w:pPr>
            <w:r w:rsidRPr="00D60B96">
              <w:t>Besøget hos praktiserende læge udgør anden fase af sundhedstjekket og vil tage afsæt i forberedelsesskemaet og blodprøveresultaterne. Derudover vil lægen gennemgå medicinlisten samt udføre en helbredsundersøgelse bestående af bl.a. blodtryksmåling, EKG, lungefunktionsmåling, vægtregistrering og tandstatus. Helbredsundersøgelserne kan munde ud i et behov for yderligere undersøgelser.</w:t>
            </w:r>
          </w:p>
          <w:p w14:paraId="56F5A3AA" w14:textId="77777777" w:rsidR="00703C87" w:rsidRPr="00F440BA" w:rsidRDefault="00703C87" w:rsidP="00703C87">
            <w:pPr>
              <w:jc w:val="left"/>
              <w:rPr>
                <w:b/>
                <w:bCs/>
              </w:rPr>
            </w:pPr>
            <w:r w:rsidRPr="00F440BA">
              <w:rPr>
                <w:b/>
                <w:bCs/>
              </w:rPr>
              <w:t>Tredje og sidste fase – igangsættelse af det videre forløb</w:t>
            </w:r>
          </w:p>
          <w:p w14:paraId="28949F6E" w14:textId="77777777" w:rsidR="00703C87" w:rsidRPr="00D60B96" w:rsidRDefault="00703C87" w:rsidP="00703C87">
            <w:pPr>
              <w:jc w:val="left"/>
            </w:pPr>
            <w:r w:rsidRPr="00D60B96">
              <w:t>Sidste fase udgør en evt. henvisning til yderligere undersøgelser, iværksættelse af ny eller anden behandling og opfølgning i borgers hjem.</w:t>
            </w:r>
          </w:p>
          <w:p w14:paraId="276540AE" w14:textId="0784EBA7" w:rsidR="00703C87" w:rsidRDefault="00703C87" w:rsidP="00703C87">
            <w:pPr>
              <w:jc w:val="left"/>
            </w:pPr>
            <w:r w:rsidRPr="00D60B96">
              <w:t>Lægen udarbejder en plan for indsatsen sammen med borger og evt. støtteperson, så de kan støtte borgeren fremadrettet. Planen kan omfatte en forebyggende indsats, en eller flere konkrete behandlingsindsatser eller henvisning.</w:t>
            </w:r>
          </w:p>
          <w:p w14:paraId="0266519C" w14:textId="11510BF6" w:rsidR="00703C87" w:rsidRDefault="00703C87" w:rsidP="00703C87">
            <w:pPr>
              <w:jc w:val="left"/>
            </w:pPr>
            <w:r>
              <w:lastRenderedPageBreak/>
              <w:t>Støttepersonen understøttes borger i at orientere eventuelle relevante samarbejdspartnere.</w:t>
            </w:r>
          </w:p>
        </w:tc>
      </w:tr>
      <w:tr w:rsidR="00703C87" w14:paraId="1645B375" w14:textId="77777777" w:rsidTr="0014601B">
        <w:trPr>
          <w:trHeight w:val="1532"/>
        </w:trPr>
        <w:tc>
          <w:tcPr>
            <w:tcW w:w="3359" w:type="dxa"/>
            <w:tcBorders>
              <w:top w:val="single" w:sz="6" w:space="0" w:color="000000"/>
              <w:left w:val="single" w:sz="6" w:space="0" w:color="000000"/>
              <w:bottom w:val="single" w:sz="6" w:space="0" w:color="000000"/>
              <w:right w:val="single" w:sz="6" w:space="0" w:color="000000"/>
            </w:tcBorders>
            <w:shd w:val="clear" w:color="auto" w:fill="EAF1DD"/>
            <w:tcMar>
              <w:top w:w="9" w:type="dxa"/>
              <w:left w:w="0" w:type="dxa"/>
              <w:bottom w:w="0" w:type="dxa"/>
              <w:right w:w="26" w:type="dxa"/>
            </w:tcMar>
          </w:tcPr>
          <w:p w14:paraId="2FA6E531" w14:textId="77777777" w:rsidR="00703C87" w:rsidRPr="00137977" w:rsidRDefault="00703C87" w:rsidP="00703C87">
            <w:pPr>
              <w:jc w:val="left"/>
              <w:rPr>
                <w:b/>
                <w:bCs/>
              </w:rPr>
            </w:pPr>
            <w:r w:rsidRPr="00137977">
              <w:rPr>
                <w:b/>
                <w:bCs/>
              </w:rPr>
              <w:lastRenderedPageBreak/>
              <w:t>Materiale om sundhedstjekket</w:t>
            </w:r>
          </w:p>
          <w:p w14:paraId="30B35FA5" w14:textId="77777777" w:rsidR="00703C87" w:rsidRPr="00137977" w:rsidRDefault="00703C87" w:rsidP="00703C87">
            <w:pPr>
              <w:jc w:val="left"/>
              <w:rPr>
                <w:b/>
                <w:bCs/>
              </w:rPr>
            </w:pPr>
          </w:p>
          <w:p w14:paraId="6C69046C" w14:textId="77777777" w:rsidR="00703C87" w:rsidRPr="00137977" w:rsidRDefault="00703C87" w:rsidP="00703C87">
            <w:pPr>
              <w:jc w:val="left"/>
              <w:rPr>
                <w:b/>
                <w:bCs/>
              </w:rPr>
            </w:pPr>
          </w:p>
        </w:tc>
        <w:tc>
          <w:tcPr>
            <w:tcW w:w="7307"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26" w:type="dxa"/>
            </w:tcMar>
          </w:tcPr>
          <w:p w14:paraId="4C6E5976" w14:textId="6D4488DF" w:rsidR="00703C87" w:rsidRPr="0025233F" w:rsidRDefault="00703C87" w:rsidP="00703C87">
            <w:pPr>
              <w:jc w:val="left"/>
            </w:pPr>
            <w:r w:rsidRPr="0025233F">
              <w:t xml:space="preserve">Det anbefales, at borgere, </w:t>
            </w:r>
            <w:r>
              <w:t>støttepersonen</w:t>
            </w:r>
            <w:r w:rsidRPr="0025233F">
              <w:t xml:space="preserve"> og praktiserende læger anvender det materiale, der er udarbejdet som del af modellen for gode sundhedstjek. Materialerne er udarbejdet i samarbejde med Dansk selskab for Almen medicin og kan downloades </w:t>
            </w:r>
            <w:r>
              <w:t>på:</w:t>
            </w:r>
          </w:p>
          <w:p w14:paraId="67FDC0C4" w14:textId="77777777" w:rsidR="00703C87" w:rsidRPr="0025233F" w:rsidRDefault="00703C87" w:rsidP="00703C87">
            <w:pPr>
              <w:jc w:val="left"/>
            </w:pPr>
            <w:r w:rsidRPr="0025233F">
              <w:t>Link:</w:t>
            </w:r>
          </w:p>
          <w:p w14:paraId="7DA2AC76" w14:textId="7943CF2A" w:rsidR="00703C87" w:rsidRDefault="00000000" w:rsidP="00703C87">
            <w:pPr>
              <w:jc w:val="left"/>
            </w:pPr>
            <w:hyperlink r:id="rId11" w:history="1">
              <w:r w:rsidR="00703C87" w:rsidRPr="0025233F">
                <w:rPr>
                  <w:rStyle w:val="Hyperlink"/>
                </w:rPr>
                <w:t>https://handicap.dk/politik/dhs-politiske-temaer/sundhedspolitik/saadan-faar-du-sundhedstjek</w:t>
              </w:r>
            </w:hyperlink>
          </w:p>
          <w:p w14:paraId="64BF3449" w14:textId="396F7DB6" w:rsidR="00703C87" w:rsidRPr="0025233F" w:rsidRDefault="00703C87" w:rsidP="00703C87">
            <w:pPr>
              <w:jc w:val="left"/>
            </w:pPr>
            <w:r>
              <w:t>M</w:t>
            </w:r>
            <w:r w:rsidRPr="0025233F">
              <w:t xml:space="preserve">aterialet består af information om sundhedstjek målrettet henholdsvis borgere/pårørende samt et forberedelsesskema om borgerens sundhed, </w:t>
            </w:r>
            <w:r>
              <w:t xml:space="preserve">som borger </w:t>
            </w:r>
            <w:r w:rsidRPr="0025233F">
              <w:t>med fordel kan udfylde forud for sundhedstjekket.</w:t>
            </w:r>
          </w:p>
        </w:tc>
      </w:tr>
      <w:tr w:rsidR="00703C87" w14:paraId="419BB5D1" w14:textId="77777777" w:rsidTr="0014601B">
        <w:trPr>
          <w:trHeight w:val="1047"/>
        </w:trPr>
        <w:tc>
          <w:tcPr>
            <w:tcW w:w="3359" w:type="dxa"/>
            <w:tcBorders>
              <w:top w:val="single" w:sz="6" w:space="0" w:color="000000"/>
              <w:left w:val="single" w:sz="6" w:space="0" w:color="000000"/>
              <w:bottom w:val="single" w:sz="6" w:space="0" w:color="000000"/>
              <w:right w:val="single" w:sz="6" w:space="0" w:color="000000"/>
            </w:tcBorders>
            <w:shd w:val="clear" w:color="auto" w:fill="EAF1DD"/>
            <w:tcMar>
              <w:top w:w="8" w:type="dxa"/>
              <w:left w:w="70" w:type="dxa"/>
              <w:bottom w:w="0" w:type="dxa"/>
              <w:right w:w="46" w:type="dxa"/>
            </w:tcMar>
            <w:hideMark/>
          </w:tcPr>
          <w:p w14:paraId="3874469C" w14:textId="77777777" w:rsidR="00703C87" w:rsidRPr="00137977" w:rsidRDefault="00703C87" w:rsidP="00703C87">
            <w:pPr>
              <w:spacing w:after="0"/>
              <w:jc w:val="left"/>
              <w:rPr>
                <w:rFonts w:eastAsia="Arial"/>
                <w:b/>
                <w:bCs/>
              </w:rPr>
            </w:pPr>
            <w:r w:rsidRPr="00137977">
              <w:rPr>
                <w:rFonts w:eastAsia="Arial"/>
                <w:b/>
                <w:bCs/>
              </w:rPr>
              <w:t>Udarbejdet den:</w:t>
            </w:r>
          </w:p>
          <w:p w14:paraId="5FC5939B" w14:textId="77777777" w:rsidR="00703C87" w:rsidRPr="00137977" w:rsidRDefault="00703C87" w:rsidP="00703C87">
            <w:pPr>
              <w:jc w:val="left"/>
              <w:rPr>
                <w:rFonts w:eastAsia="Arial"/>
                <w:b/>
                <w:bCs/>
              </w:rPr>
            </w:pPr>
          </w:p>
          <w:p w14:paraId="39BC7F58" w14:textId="77777777" w:rsidR="00703C87" w:rsidRPr="00137977" w:rsidRDefault="00703C87" w:rsidP="00703C87">
            <w:pPr>
              <w:spacing w:after="0"/>
              <w:jc w:val="left"/>
              <w:rPr>
                <w:rFonts w:eastAsia="Arial"/>
                <w:b/>
                <w:bCs/>
              </w:rPr>
            </w:pPr>
            <w:r w:rsidRPr="00137977">
              <w:rPr>
                <w:rFonts w:eastAsia="Arial"/>
                <w:b/>
                <w:bCs/>
              </w:rPr>
              <w:t>Udarbejdet af:</w:t>
            </w:r>
          </w:p>
          <w:p w14:paraId="0F6E2B3D" w14:textId="77777777" w:rsidR="00703C87" w:rsidRPr="00137977" w:rsidRDefault="00703C87" w:rsidP="00703C87">
            <w:pPr>
              <w:jc w:val="left"/>
              <w:rPr>
                <w:rFonts w:eastAsia="Arial"/>
                <w:b/>
                <w:bCs/>
              </w:rPr>
            </w:pPr>
          </w:p>
          <w:p w14:paraId="107D7597" w14:textId="77777777" w:rsidR="00703C87" w:rsidRPr="00137977" w:rsidRDefault="00703C87" w:rsidP="00703C87">
            <w:pPr>
              <w:spacing w:after="0"/>
              <w:jc w:val="left"/>
              <w:rPr>
                <w:rFonts w:eastAsia="Arial"/>
                <w:b/>
                <w:bCs/>
              </w:rPr>
            </w:pPr>
            <w:r w:rsidRPr="00137977">
              <w:rPr>
                <w:rFonts w:eastAsia="Arial"/>
                <w:b/>
                <w:bCs/>
              </w:rPr>
              <w:t>Sidst revideret:</w:t>
            </w:r>
          </w:p>
          <w:p w14:paraId="3814DEB3" w14:textId="77777777" w:rsidR="00703C87" w:rsidRPr="00137977" w:rsidRDefault="00703C87" w:rsidP="00703C87">
            <w:pPr>
              <w:jc w:val="left"/>
              <w:rPr>
                <w:rFonts w:eastAsia="Arial"/>
                <w:b/>
                <w:bCs/>
              </w:rPr>
            </w:pPr>
          </w:p>
          <w:p w14:paraId="13B03F63" w14:textId="77777777" w:rsidR="00703C87" w:rsidRPr="00137977" w:rsidRDefault="00703C87" w:rsidP="00703C87">
            <w:pPr>
              <w:spacing w:after="0"/>
              <w:jc w:val="left"/>
              <w:rPr>
                <w:rFonts w:eastAsia="Arial"/>
                <w:b/>
                <w:bCs/>
              </w:rPr>
            </w:pPr>
            <w:r w:rsidRPr="00137977">
              <w:rPr>
                <w:rFonts w:eastAsia="Arial"/>
                <w:b/>
                <w:bCs/>
              </w:rPr>
              <w:t>Revideres inden:</w:t>
            </w:r>
          </w:p>
          <w:p w14:paraId="6B7C81F1" w14:textId="77777777" w:rsidR="00703C87" w:rsidRPr="00137977" w:rsidRDefault="00703C87" w:rsidP="00703C87">
            <w:pPr>
              <w:jc w:val="left"/>
              <w:rPr>
                <w:rFonts w:eastAsia="Arial"/>
                <w:b/>
                <w:bCs/>
              </w:rPr>
            </w:pPr>
          </w:p>
          <w:p w14:paraId="0B02484E" w14:textId="2291F79C" w:rsidR="00703C87" w:rsidRPr="00137977" w:rsidRDefault="00703C87" w:rsidP="00703C87">
            <w:pPr>
              <w:jc w:val="left"/>
              <w:rPr>
                <w:b/>
                <w:bCs/>
              </w:rPr>
            </w:pPr>
            <w:r w:rsidRPr="00137977">
              <w:rPr>
                <w:rFonts w:eastAsia="Arial"/>
                <w:b/>
                <w:bCs/>
              </w:rPr>
              <w:t>Godkendt af:</w:t>
            </w:r>
          </w:p>
        </w:tc>
        <w:tc>
          <w:tcPr>
            <w:tcW w:w="7307" w:type="dxa"/>
            <w:tcBorders>
              <w:top w:val="single" w:sz="6" w:space="0" w:color="000000"/>
              <w:left w:val="single" w:sz="6" w:space="0" w:color="000000"/>
              <w:bottom w:val="single" w:sz="6" w:space="0" w:color="000000"/>
              <w:right w:val="single" w:sz="6" w:space="0" w:color="000000"/>
            </w:tcBorders>
            <w:tcMar>
              <w:top w:w="8" w:type="dxa"/>
              <w:left w:w="70" w:type="dxa"/>
              <w:bottom w:w="0" w:type="dxa"/>
              <w:right w:w="46" w:type="dxa"/>
            </w:tcMar>
            <w:hideMark/>
          </w:tcPr>
          <w:p w14:paraId="5F8FD5ED" w14:textId="77777777" w:rsidR="00703C87" w:rsidRDefault="00703C87" w:rsidP="00703C87">
            <w:pPr>
              <w:spacing w:after="100" w:afterAutospacing="1"/>
              <w:jc w:val="left"/>
              <w:rPr>
                <w:rFonts w:eastAsia="Arial"/>
              </w:rPr>
            </w:pPr>
            <w:r>
              <w:rPr>
                <w:rFonts w:eastAsia="Arial"/>
              </w:rPr>
              <w:t>Januar 2022</w:t>
            </w:r>
          </w:p>
          <w:p w14:paraId="2C0EC1DC" w14:textId="77777777" w:rsidR="00703C87" w:rsidRPr="00FF0EB0" w:rsidRDefault="00703C87" w:rsidP="00703C87">
            <w:pPr>
              <w:spacing w:after="0"/>
              <w:jc w:val="left"/>
              <w:rPr>
                <w:rFonts w:eastAsia="Arial"/>
              </w:rPr>
            </w:pPr>
            <w:r>
              <w:rPr>
                <w:rFonts w:eastAsia="Arial"/>
              </w:rPr>
              <w:t xml:space="preserve">Ghita </w:t>
            </w:r>
            <w:r w:rsidRPr="00FF0EB0">
              <w:rPr>
                <w:rFonts w:eastAsia="Arial"/>
              </w:rPr>
              <w:t xml:space="preserve">Steenholt, </w:t>
            </w:r>
            <w:r>
              <w:rPr>
                <w:rFonts w:eastAsia="Arial"/>
              </w:rPr>
              <w:t>leder og Cand. Cur.</w:t>
            </w:r>
          </w:p>
          <w:p w14:paraId="4D2FE9D1" w14:textId="77777777" w:rsidR="00703C87" w:rsidRDefault="00703C87" w:rsidP="00703C87">
            <w:pPr>
              <w:jc w:val="left"/>
              <w:rPr>
                <w:rFonts w:eastAsia="Arial"/>
              </w:rPr>
            </w:pPr>
          </w:p>
          <w:p w14:paraId="4229C90C" w14:textId="77777777" w:rsidR="00703C87" w:rsidRDefault="00703C87" w:rsidP="00703C87">
            <w:pPr>
              <w:spacing w:after="0"/>
              <w:jc w:val="left"/>
              <w:rPr>
                <w:rFonts w:eastAsia="Arial"/>
              </w:rPr>
            </w:pPr>
            <w:r>
              <w:rPr>
                <w:rFonts w:eastAsia="Arial"/>
              </w:rPr>
              <w:t>Marts 2023</w:t>
            </w:r>
          </w:p>
          <w:p w14:paraId="5812AE32" w14:textId="77777777" w:rsidR="00703C87" w:rsidRDefault="00703C87" w:rsidP="00703C87">
            <w:pPr>
              <w:jc w:val="left"/>
              <w:rPr>
                <w:rFonts w:eastAsia="Arial"/>
              </w:rPr>
            </w:pPr>
          </w:p>
          <w:p w14:paraId="5FB19006" w14:textId="77777777" w:rsidR="00703C87" w:rsidRDefault="00703C87" w:rsidP="00703C87">
            <w:pPr>
              <w:spacing w:after="0"/>
              <w:jc w:val="left"/>
              <w:rPr>
                <w:rFonts w:eastAsia="Arial"/>
              </w:rPr>
            </w:pPr>
            <w:r w:rsidRPr="00FF0EB0">
              <w:rPr>
                <w:rFonts w:eastAsia="Arial"/>
              </w:rPr>
              <w:t xml:space="preserve">Revideres efter behov og senest </w:t>
            </w:r>
            <w:r>
              <w:rPr>
                <w:rFonts w:eastAsia="Arial"/>
              </w:rPr>
              <w:t>februar</w:t>
            </w:r>
            <w:r w:rsidRPr="00FF0EB0">
              <w:rPr>
                <w:rFonts w:eastAsia="Arial"/>
              </w:rPr>
              <w:t xml:space="preserve"> 20</w:t>
            </w:r>
            <w:r>
              <w:rPr>
                <w:rFonts w:eastAsia="Arial"/>
              </w:rPr>
              <w:t>25</w:t>
            </w:r>
          </w:p>
          <w:p w14:paraId="39EF2A8B" w14:textId="77777777" w:rsidR="00703C87" w:rsidRDefault="00703C87" w:rsidP="00703C87">
            <w:pPr>
              <w:jc w:val="left"/>
              <w:rPr>
                <w:rFonts w:eastAsia="Arial"/>
              </w:rPr>
            </w:pPr>
          </w:p>
          <w:p w14:paraId="3497E0E6" w14:textId="273FF3B5" w:rsidR="00703C87" w:rsidRDefault="00703C87" w:rsidP="00703C87">
            <w:pPr>
              <w:jc w:val="left"/>
              <w:rPr>
                <w:rFonts w:eastAsia="Arial"/>
              </w:rPr>
            </w:pPr>
            <w:r w:rsidRPr="001149E4">
              <w:rPr>
                <w:rFonts w:eastAsia="Arial"/>
              </w:rPr>
              <w:t xml:space="preserve">Centerledergruppen og </w:t>
            </w:r>
            <w:r>
              <w:rPr>
                <w:rFonts w:eastAsia="Arial"/>
              </w:rPr>
              <w:t>S</w:t>
            </w:r>
            <w:r w:rsidRPr="001149E4">
              <w:rPr>
                <w:rFonts w:eastAsia="Arial"/>
              </w:rPr>
              <w:t>ocialchefen</w:t>
            </w:r>
          </w:p>
        </w:tc>
      </w:tr>
    </w:tbl>
    <w:p w14:paraId="641ED86D" w14:textId="77777777" w:rsidR="00137977" w:rsidRDefault="000A2518" w:rsidP="00F440BA">
      <w:r>
        <w:t xml:space="preserve"> </w:t>
      </w:r>
    </w:p>
    <w:p w14:paraId="330167ED" w14:textId="302A5C2C" w:rsidR="00FB0692" w:rsidRDefault="00FB0692" w:rsidP="00F440BA"/>
    <w:sectPr w:rsidR="00FB0692" w:rsidSect="009361BD">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AE31" w14:textId="77777777" w:rsidR="001636C7" w:rsidRDefault="001636C7" w:rsidP="00835ACE">
      <w:pPr>
        <w:spacing w:after="0"/>
      </w:pPr>
      <w:r>
        <w:separator/>
      </w:r>
    </w:p>
  </w:endnote>
  <w:endnote w:type="continuationSeparator" w:id="0">
    <w:p w14:paraId="61F504F5" w14:textId="77777777" w:rsidR="001636C7" w:rsidRDefault="001636C7" w:rsidP="00835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9BD3" w14:textId="77777777" w:rsidR="001636C7" w:rsidRDefault="001636C7" w:rsidP="00835ACE">
      <w:pPr>
        <w:spacing w:after="0"/>
      </w:pPr>
      <w:r>
        <w:separator/>
      </w:r>
    </w:p>
  </w:footnote>
  <w:footnote w:type="continuationSeparator" w:id="0">
    <w:p w14:paraId="016C94B2" w14:textId="77777777" w:rsidR="001636C7" w:rsidRDefault="001636C7" w:rsidP="00835A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3365" w14:textId="77777777" w:rsidR="00835ACE" w:rsidRDefault="00835ACE" w:rsidP="00835ACE">
    <w:pPr>
      <w:pStyle w:val="Sidehoved"/>
    </w:pPr>
    <w:bookmarkStart w:id="1" w:name="_Hlk134434705"/>
    <w:bookmarkStart w:id="2" w:name="_Hlk134437039"/>
    <w:r>
      <w:rPr>
        <w:noProof/>
      </w:rPr>
      <w:drawing>
        <wp:inline distT="0" distB="0" distL="0" distR="0" wp14:anchorId="7111A445" wp14:editId="7DA02A37">
          <wp:extent cx="1647825" cy="142875"/>
          <wp:effectExtent l="0" t="0" r="9525" b="9525"/>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t xml:space="preserve">   </w:t>
    </w:r>
    <w:r>
      <w:rPr>
        <w:noProof/>
      </w:rPr>
      <w:drawing>
        <wp:inline distT="0" distB="0" distL="0" distR="0" wp14:anchorId="135AFCF4" wp14:editId="04808342">
          <wp:extent cx="600075" cy="714375"/>
          <wp:effectExtent l="0" t="0" r="9525" b="9525"/>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bookmarkEnd w:id="1"/>
  </w:p>
  <w:bookmarkEnd w:id="2"/>
  <w:p w14:paraId="42CEBF01" w14:textId="77777777" w:rsidR="00835ACE" w:rsidRDefault="00835A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4B4"/>
    <w:multiLevelType w:val="hybridMultilevel"/>
    <w:tmpl w:val="805E0A62"/>
    <w:lvl w:ilvl="0" w:tplc="0406000B">
      <w:start w:val="1"/>
      <w:numFmt w:val="bullet"/>
      <w:lvlText w:val=""/>
      <w:lvlJc w:val="left"/>
      <w:pPr>
        <w:ind w:left="721" w:hanging="360"/>
      </w:pPr>
      <w:rPr>
        <w:rFonts w:ascii="Wingdings" w:hAnsi="Wingdings" w:hint="default"/>
      </w:rPr>
    </w:lvl>
    <w:lvl w:ilvl="1" w:tplc="04060003">
      <w:start w:val="1"/>
      <w:numFmt w:val="bullet"/>
      <w:lvlText w:val="o"/>
      <w:lvlJc w:val="left"/>
      <w:pPr>
        <w:ind w:left="1441" w:hanging="360"/>
      </w:pPr>
      <w:rPr>
        <w:rFonts w:ascii="Courier New" w:hAnsi="Courier New" w:cs="Courier New" w:hint="default"/>
      </w:rPr>
    </w:lvl>
    <w:lvl w:ilvl="2" w:tplc="04060005">
      <w:start w:val="1"/>
      <w:numFmt w:val="bullet"/>
      <w:lvlText w:val=""/>
      <w:lvlJc w:val="left"/>
      <w:pPr>
        <w:ind w:left="2161" w:hanging="360"/>
      </w:pPr>
      <w:rPr>
        <w:rFonts w:ascii="Wingdings" w:hAnsi="Wingdings" w:hint="default"/>
      </w:rPr>
    </w:lvl>
    <w:lvl w:ilvl="3" w:tplc="04060001">
      <w:start w:val="1"/>
      <w:numFmt w:val="bullet"/>
      <w:lvlText w:val=""/>
      <w:lvlJc w:val="left"/>
      <w:pPr>
        <w:ind w:left="2881" w:hanging="360"/>
      </w:pPr>
      <w:rPr>
        <w:rFonts w:ascii="Symbol" w:hAnsi="Symbol" w:hint="default"/>
      </w:rPr>
    </w:lvl>
    <w:lvl w:ilvl="4" w:tplc="04060003">
      <w:start w:val="1"/>
      <w:numFmt w:val="bullet"/>
      <w:lvlText w:val="o"/>
      <w:lvlJc w:val="left"/>
      <w:pPr>
        <w:ind w:left="3601" w:hanging="360"/>
      </w:pPr>
      <w:rPr>
        <w:rFonts w:ascii="Courier New" w:hAnsi="Courier New" w:cs="Courier New" w:hint="default"/>
      </w:rPr>
    </w:lvl>
    <w:lvl w:ilvl="5" w:tplc="04060005">
      <w:start w:val="1"/>
      <w:numFmt w:val="bullet"/>
      <w:lvlText w:val=""/>
      <w:lvlJc w:val="left"/>
      <w:pPr>
        <w:ind w:left="4321" w:hanging="360"/>
      </w:pPr>
      <w:rPr>
        <w:rFonts w:ascii="Wingdings" w:hAnsi="Wingdings" w:hint="default"/>
      </w:rPr>
    </w:lvl>
    <w:lvl w:ilvl="6" w:tplc="04060001">
      <w:start w:val="1"/>
      <w:numFmt w:val="bullet"/>
      <w:lvlText w:val=""/>
      <w:lvlJc w:val="left"/>
      <w:pPr>
        <w:ind w:left="5041" w:hanging="360"/>
      </w:pPr>
      <w:rPr>
        <w:rFonts w:ascii="Symbol" w:hAnsi="Symbol" w:hint="default"/>
      </w:rPr>
    </w:lvl>
    <w:lvl w:ilvl="7" w:tplc="04060003">
      <w:start w:val="1"/>
      <w:numFmt w:val="bullet"/>
      <w:lvlText w:val="o"/>
      <w:lvlJc w:val="left"/>
      <w:pPr>
        <w:ind w:left="5761" w:hanging="360"/>
      </w:pPr>
      <w:rPr>
        <w:rFonts w:ascii="Courier New" w:hAnsi="Courier New" w:cs="Courier New" w:hint="default"/>
      </w:rPr>
    </w:lvl>
    <w:lvl w:ilvl="8" w:tplc="04060005">
      <w:start w:val="1"/>
      <w:numFmt w:val="bullet"/>
      <w:lvlText w:val=""/>
      <w:lvlJc w:val="left"/>
      <w:pPr>
        <w:ind w:left="6481" w:hanging="360"/>
      </w:pPr>
      <w:rPr>
        <w:rFonts w:ascii="Wingdings" w:hAnsi="Wingdings" w:hint="default"/>
      </w:rPr>
    </w:lvl>
  </w:abstractNum>
  <w:abstractNum w:abstractNumId="1" w15:restartNumberingAfterBreak="0">
    <w:nsid w:val="03BC71FE"/>
    <w:multiLevelType w:val="hybridMultilevel"/>
    <w:tmpl w:val="933C0DE2"/>
    <w:lvl w:ilvl="0" w:tplc="FFFFFFFF">
      <w:start w:val="1"/>
      <w:numFmt w:val="bullet"/>
      <w:lvlText w:val=""/>
      <w:lvlJc w:val="left"/>
      <w:pPr>
        <w:ind w:left="720" w:hanging="360"/>
      </w:pPr>
      <w:rPr>
        <w:rFonts w:ascii="Wingdings" w:hAnsi="Wingdings" w:hint="default"/>
      </w:rPr>
    </w:lvl>
    <w:lvl w:ilvl="1" w:tplc="040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97154"/>
    <w:multiLevelType w:val="hybridMultilevel"/>
    <w:tmpl w:val="EB4ED6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702287"/>
    <w:multiLevelType w:val="hybridMultilevel"/>
    <w:tmpl w:val="7CF09B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F9434E"/>
    <w:multiLevelType w:val="multilevel"/>
    <w:tmpl w:val="B87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12090"/>
    <w:multiLevelType w:val="multilevel"/>
    <w:tmpl w:val="C41866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5A7934"/>
    <w:multiLevelType w:val="hybridMultilevel"/>
    <w:tmpl w:val="11B46326"/>
    <w:lvl w:ilvl="0" w:tplc="F82C5688">
      <w:start w:val="1"/>
      <w:numFmt w:val="bullet"/>
      <w:lvlText w:val="-"/>
      <w:lvlJc w:val="left"/>
      <w:pPr>
        <w:ind w:left="721"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441" w:hanging="360"/>
      </w:pPr>
      <w:rPr>
        <w:rFonts w:ascii="Courier New" w:hAnsi="Courier New" w:cs="Courier New" w:hint="default"/>
      </w:rPr>
    </w:lvl>
    <w:lvl w:ilvl="2" w:tplc="04060005">
      <w:start w:val="1"/>
      <w:numFmt w:val="bullet"/>
      <w:lvlText w:val=""/>
      <w:lvlJc w:val="left"/>
      <w:pPr>
        <w:ind w:left="2161" w:hanging="360"/>
      </w:pPr>
      <w:rPr>
        <w:rFonts w:ascii="Wingdings" w:hAnsi="Wingdings" w:hint="default"/>
      </w:rPr>
    </w:lvl>
    <w:lvl w:ilvl="3" w:tplc="04060001">
      <w:start w:val="1"/>
      <w:numFmt w:val="bullet"/>
      <w:lvlText w:val=""/>
      <w:lvlJc w:val="left"/>
      <w:pPr>
        <w:ind w:left="2881" w:hanging="360"/>
      </w:pPr>
      <w:rPr>
        <w:rFonts w:ascii="Symbol" w:hAnsi="Symbol" w:hint="default"/>
      </w:rPr>
    </w:lvl>
    <w:lvl w:ilvl="4" w:tplc="04060003">
      <w:start w:val="1"/>
      <w:numFmt w:val="bullet"/>
      <w:lvlText w:val="o"/>
      <w:lvlJc w:val="left"/>
      <w:pPr>
        <w:ind w:left="3601" w:hanging="360"/>
      </w:pPr>
      <w:rPr>
        <w:rFonts w:ascii="Courier New" w:hAnsi="Courier New" w:cs="Courier New" w:hint="default"/>
      </w:rPr>
    </w:lvl>
    <w:lvl w:ilvl="5" w:tplc="04060005">
      <w:start w:val="1"/>
      <w:numFmt w:val="bullet"/>
      <w:lvlText w:val=""/>
      <w:lvlJc w:val="left"/>
      <w:pPr>
        <w:ind w:left="4321" w:hanging="360"/>
      </w:pPr>
      <w:rPr>
        <w:rFonts w:ascii="Wingdings" w:hAnsi="Wingdings" w:hint="default"/>
      </w:rPr>
    </w:lvl>
    <w:lvl w:ilvl="6" w:tplc="04060001">
      <w:start w:val="1"/>
      <w:numFmt w:val="bullet"/>
      <w:lvlText w:val=""/>
      <w:lvlJc w:val="left"/>
      <w:pPr>
        <w:ind w:left="5041" w:hanging="360"/>
      </w:pPr>
      <w:rPr>
        <w:rFonts w:ascii="Symbol" w:hAnsi="Symbol" w:hint="default"/>
      </w:rPr>
    </w:lvl>
    <w:lvl w:ilvl="7" w:tplc="04060003">
      <w:start w:val="1"/>
      <w:numFmt w:val="bullet"/>
      <w:lvlText w:val="o"/>
      <w:lvlJc w:val="left"/>
      <w:pPr>
        <w:ind w:left="5761" w:hanging="360"/>
      </w:pPr>
      <w:rPr>
        <w:rFonts w:ascii="Courier New" w:hAnsi="Courier New" w:cs="Courier New" w:hint="default"/>
      </w:rPr>
    </w:lvl>
    <w:lvl w:ilvl="8" w:tplc="04060005">
      <w:start w:val="1"/>
      <w:numFmt w:val="bullet"/>
      <w:lvlText w:val=""/>
      <w:lvlJc w:val="left"/>
      <w:pPr>
        <w:ind w:left="6481" w:hanging="360"/>
      </w:pPr>
      <w:rPr>
        <w:rFonts w:ascii="Wingdings" w:hAnsi="Wingdings" w:hint="default"/>
      </w:rPr>
    </w:lvl>
  </w:abstractNum>
  <w:abstractNum w:abstractNumId="7" w15:restartNumberingAfterBreak="0">
    <w:nsid w:val="228D246D"/>
    <w:multiLevelType w:val="hybridMultilevel"/>
    <w:tmpl w:val="CC72D0D6"/>
    <w:lvl w:ilvl="0" w:tplc="2B56EB6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71B5F90"/>
    <w:multiLevelType w:val="hybridMultilevel"/>
    <w:tmpl w:val="C278F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C12BDE"/>
    <w:multiLevelType w:val="hybridMultilevel"/>
    <w:tmpl w:val="B164DF5C"/>
    <w:lvl w:ilvl="0" w:tplc="040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BE5A9B"/>
    <w:multiLevelType w:val="multilevel"/>
    <w:tmpl w:val="6F08EE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1802F31"/>
    <w:multiLevelType w:val="hybridMultilevel"/>
    <w:tmpl w:val="458A2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A22EC8"/>
    <w:multiLevelType w:val="hybridMultilevel"/>
    <w:tmpl w:val="BB7C3A0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ED48BF"/>
    <w:multiLevelType w:val="multilevel"/>
    <w:tmpl w:val="0B7C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04B5F"/>
    <w:multiLevelType w:val="hybridMultilevel"/>
    <w:tmpl w:val="45B46C96"/>
    <w:lvl w:ilvl="0" w:tplc="29A2995A">
      <w:start w:val="1"/>
      <w:numFmt w:val="bullet"/>
      <w:pStyle w:val="O2-indhold"/>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1A0C7B"/>
    <w:multiLevelType w:val="hybridMultilevel"/>
    <w:tmpl w:val="D5407270"/>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04E760F"/>
    <w:multiLevelType w:val="hybridMultilevel"/>
    <w:tmpl w:val="DA64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9867ED"/>
    <w:multiLevelType w:val="hybridMultilevel"/>
    <w:tmpl w:val="220458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57616BC4"/>
    <w:multiLevelType w:val="hybridMultilevel"/>
    <w:tmpl w:val="35D0C7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57A524CB"/>
    <w:multiLevelType w:val="hybridMultilevel"/>
    <w:tmpl w:val="341A19C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E3C31E1"/>
    <w:multiLevelType w:val="hybridMultilevel"/>
    <w:tmpl w:val="FE20D57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0595AB2"/>
    <w:multiLevelType w:val="hybridMultilevel"/>
    <w:tmpl w:val="38B6FBE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1E12452"/>
    <w:multiLevelType w:val="hybridMultilevel"/>
    <w:tmpl w:val="4770259A"/>
    <w:lvl w:ilvl="0" w:tplc="F82C5688">
      <w:start w:val="1"/>
      <w:numFmt w:val="bullet"/>
      <w:lvlText w:val="-"/>
      <w:lvlJc w:val="left"/>
      <w:pPr>
        <w:ind w:left="2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D6CD23E">
      <w:start w:val="1"/>
      <w:numFmt w:val="bullet"/>
      <w:lvlText w:val="o"/>
      <w:lvlJc w:val="left"/>
      <w:pPr>
        <w:ind w:left="11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0BE2840">
      <w:start w:val="1"/>
      <w:numFmt w:val="bullet"/>
      <w:lvlText w:val="▪"/>
      <w:lvlJc w:val="left"/>
      <w:pPr>
        <w:ind w:left="18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F3C8390">
      <w:start w:val="1"/>
      <w:numFmt w:val="bullet"/>
      <w:lvlText w:val="•"/>
      <w:lvlJc w:val="left"/>
      <w:pPr>
        <w:ind w:left="25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8062E82">
      <w:start w:val="1"/>
      <w:numFmt w:val="bullet"/>
      <w:lvlText w:val="o"/>
      <w:lvlJc w:val="left"/>
      <w:pPr>
        <w:ind w:left="33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0FE833E">
      <w:start w:val="1"/>
      <w:numFmt w:val="bullet"/>
      <w:lvlText w:val="▪"/>
      <w:lvlJc w:val="left"/>
      <w:pPr>
        <w:ind w:left="40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240FCBA">
      <w:start w:val="1"/>
      <w:numFmt w:val="bullet"/>
      <w:lvlText w:val="•"/>
      <w:lvlJc w:val="left"/>
      <w:pPr>
        <w:ind w:left="47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87C328A">
      <w:start w:val="1"/>
      <w:numFmt w:val="bullet"/>
      <w:lvlText w:val="o"/>
      <w:lvlJc w:val="left"/>
      <w:pPr>
        <w:ind w:left="54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01A5824">
      <w:start w:val="1"/>
      <w:numFmt w:val="bullet"/>
      <w:lvlText w:val="▪"/>
      <w:lvlJc w:val="left"/>
      <w:pPr>
        <w:ind w:left="61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733A5847"/>
    <w:multiLevelType w:val="hybridMultilevel"/>
    <w:tmpl w:val="94588A32"/>
    <w:lvl w:ilvl="0" w:tplc="0406000B">
      <w:start w:val="1"/>
      <w:numFmt w:val="bullet"/>
      <w:lvlText w:val=""/>
      <w:lvlJc w:val="left"/>
      <w:pPr>
        <w:ind w:left="774" w:hanging="360"/>
      </w:pPr>
      <w:rPr>
        <w:rFonts w:ascii="Wingdings" w:hAnsi="Wingdings" w:hint="default"/>
      </w:rPr>
    </w:lvl>
    <w:lvl w:ilvl="1" w:tplc="04060003">
      <w:start w:val="1"/>
      <w:numFmt w:val="bullet"/>
      <w:lvlText w:val="o"/>
      <w:lvlJc w:val="left"/>
      <w:pPr>
        <w:ind w:left="1494" w:hanging="360"/>
      </w:pPr>
      <w:rPr>
        <w:rFonts w:ascii="Courier New" w:hAnsi="Courier New" w:cs="Courier New" w:hint="default"/>
      </w:rPr>
    </w:lvl>
    <w:lvl w:ilvl="2" w:tplc="04060005">
      <w:start w:val="1"/>
      <w:numFmt w:val="bullet"/>
      <w:lvlText w:val=""/>
      <w:lvlJc w:val="left"/>
      <w:pPr>
        <w:ind w:left="2214" w:hanging="360"/>
      </w:pPr>
      <w:rPr>
        <w:rFonts w:ascii="Wingdings" w:hAnsi="Wingdings" w:hint="default"/>
      </w:rPr>
    </w:lvl>
    <w:lvl w:ilvl="3" w:tplc="04060001">
      <w:start w:val="1"/>
      <w:numFmt w:val="bullet"/>
      <w:lvlText w:val=""/>
      <w:lvlJc w:val="left"/>
      <w:pPr>
        <w:ind w:left="2934" w:hanging="360"/>
      </w:pPr>
      <w:rPr>
        <w:rFonts w:ascii="Symbol" w:hAnsi="Symbol" w:hint="default"/>
      </w:rPr>
    </w:lvl>
    <w:lvl w:ilvl="4" w:tplc="04060003">
      <w:start w:val="1"/>
      <w:numFmt w:val="bullet"/>
      <w:lvlText w:val="o"/>
      <w:lvlJc w:val="left"/>
      <w:pPr>
        <w:ind w:left="3654" w:hanging="360"/>
      </w:pPr>
      <w:rPr>
        <w:rFonts w:ascii="Courier New" w:hAnsi="Courier New" w:cs="Courier New" w:hint="default"/>
      </w:rPr>
    </w:lvl>
    <w:lvl w:ilvl="5" w:tplc="04060005">
      <w:start w:val="1"/>
      <w:numFmt w:val="bullet"/>
      <w:lvlText w:val=""/>
      <w:lvlJc w:val="left"/>
      <w:pPr>
        <w:ind w:left="4374" w:hanging="360"/>
      </w:pPr>
      <w:rPr>
        <w:rFonts w:ascii="Wingdings" w:hAnsi="Wingdings" w:hint="default"/>
      </w:rPr>
    </w:lvl>
    <w:lvl w:ilvl="6" w:tplc="04060001">
      <w:start w:val="1"/>
      <w:numFmt w:val="bullet"/>
      <w:lvlText w:val=""/>
      <w:lvlJc w:val="left"/>
      <w:pPr>
        <w:ind w:left="5094" w:hanging="360"/>
      </w:pPr>
      <w:rPr>
        <w:rFonts w:ascii="Symbol" w:hAnsi="Symbol" w:hint="default"/>
      </w:rPr>
    </w:lvl>
    <w:lvl w:ilvl="7" w:tplc="04060003">
      <w:start w:val="1"/>
      <w:numFmt w:val="bullet"/>
      <w:lvlText w:val="o"/>
      <w:lvlJc w:val="left"/>
      <w:pPr>
        <w:ind w:left="5814" w:hanging="360"/>
      </w:pPr>
      <w:rPr>
        <w:rFonts w:ascii="Courier New" w:hAnsi="Courier New" w:cs="Courier New" w:hint="default"/>
      </w:rPr>
    </w:lvl>
    <w:lvl w:ilvl="8" w:tplc="04060005">
      <w:start w:val="1"/>
      <w:numFmt w:val="bullet"/>
      <w:lvlText w:val=""/>
      <w:lvlJc w:val="left"/>
      <w:pPr>
        <w:ind w:left="6534" w:hanging="360"/>
      </w:pPr>
      <w:rPr>
        <w:rFonts w:ascii="Wingdings" w:hAnsi="Wingdings" w:hint="default"/>
      </w:rPr>
    </w:lvl>
  </w:abstractNum>
  <w:abstractNum w:abstractNumId="24" w15:restartNumberingAfterBreak="0">
    <w:nsid w:val="79684D94"/>
    <w:multiLevelType w:val="multilevel"/>
    <w:tmpl w:val="EDC8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A152E"/>
    <w:multiLevelType w:val="hybridMultilevel"/>
    <w:tmpl w:val="7AC8BC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869809">
    <w:abstractNumId w:val="22"/>
  </w:num>
  <w:num w:numId="2" w16cid:durableId="1045519631">
    <w:abstractNumId w:val="0"/>
  </w:num>
  <w:num w:numId="3" w16cid:durableId="1927808635">
    <w:abstractNumId w:val="23"/>
  </w:num>
  <w:num w:numId="4" w16cid:durableId="1518301499">
    <w:abstractNumId w:val="6"/>
  </w:num>
  <w:num w:numId="5" w16cid:durableId="607196638">
    <w:abstractNumId w:val="10"/>
  </w:num>
  <w:num w:numId="6" w16cid:durableId="12001508">
    <w:abstractNumId w:val="5"/>
  </w:num>
  <w:num w:numId="7" w16cid:durableId="1424958332">
    <w:abstractNumId w:val="18"/>
  </w:num>
  <w:num w:numId="8" w16cid:durableId="1416976535">
    <w:abstractNumId w:val="0"/>
  </w:num>
  <w:num w:numId="9" w16cid:durableId="1128283445">
    <w:abstractNumId w:val="8"/>
  </w:num>
  <w:num w:numId="10" w16cid:durableId="1201086460">
    <w:abstractNumId w:val="15"/>
  </w:num>
  <w:num w:numId="11" w16cid:durableId="139543161">
    <w:abstractNumId w:val="21"/>
  </w:num>
  <w:num w:numId="12" w16cid:durableId="923953152">
    <w:abstractNumId w:val="13"/>
  </w:num>
  <w:num w:numId="13" w16cid:durableId="1976762528">
    <w:abstractNumId w:val="12"/>
  </w:num>
  <w:num w:numId="14" w16cid:durableId="743533475">
    <w:abstractNumId w:val="24"/>
  </w:num>
  <w:num w:numId="15" w16cid:durableId="126359815">
    <w:abstractNumId w:val="4"/>
  </w:num>
  <w:num w:numId="16" w16cid:durableId="1923950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47">
    <w:abstractNumId w:val="17"/>
  </w:num>
  <w:num w:numId="18" w16cid:durableId="563834317">
    <w:abstractNumId w:val="11"/>
  </w:num>
  <w:num w:numId="19" w16cid:durableId="1410232072">
    <w:abstractNumId w:val="16"/>
  </w:num>
  <w:num w:numId="20" w16cid:durableId="767431980">
    <w:abstractNumId w:val="14"/>
  </w:num>
  <w:num w:numId="21" w16cid:durableId="447941257">
    <w:abstractNumId w:val="9"/>
  </w:num>
  <w:num w:numId="22" w16cid:durableId="1250457788">
    <w:abstractNumId w:val="3"/>
  </w:num>
  <w:num w:numId="23" w16cid:durableId="1791779990">
    <w:abstractNumId w:val="2"/>
  </w:num>
  <w:num w:numId="24" w16cid:durableId="24841139">
    <w:abstractNumId w:val="25"/>
  </w:num>
  <w:num w:numId="25" w16cid:durableId="368578603">
    <w:abstractNumId w:val="7"/>
  </w:num>
  <w:num w:numId="26" w16cid:durableId="3751312">
    <w:abstractNumId w:val="20"/>
  </w:num>
  <w:num w:numId="27" w16cid:durableId="2010057362">
    <w:abstractNumId w:val="19"/>
  </w:num>
  <w:num w:numId="28" w16cid:durableId="1768453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18"/>
    <w:rsid w:val="000118EB"/>
    <w:rsid w:val="00015796"/>
    <w:rsid w:val="00086A92"/>
    <w:rsid w:val="000A2518"/>
    <w:rsid w:val="000A591F"/>
    <w:rsid w:val="00126B13"/>
    <w:rsid w:val="00137977"/>
    <w:rsid w:val="0014601B"/>
    <w:rsid w:val="001636C7"/>
    <w:rsid w:val="00175A9E"/>
    <w:rsid w:val="001A0FE9"/>
    <w:rsid w:val="00203276"/>
    <w:rsid w:val="002509B5"/>
    <w:rsid w:val="0025233F"/>
    <w:rsid w:val="002569C5"/>
    <w:rsid w:val="0027756C"/>
    <w:rsid w:val="0036785C"/>
    <w:rsid w:val="003B0251"/>
    <w:rsid w:val="003D42D7"/>
    <w:rsid w:val="003F4BAC"/>
    <w:rsid w:val="00417631"/>
    <w:rsid w:val="00427139"/>
    <w:rsid w:val="0044419D"/>
    <w:rsid w:val="00464702"/>
    <w:rsid w:val="00476A36"/>
    <w:rsid w:val="004A61F8"/>
    <w:rsid w:val="004E43AD"/>
    <w:rsid w:val="004F00ED"/>
    <w:rsid w:val="0052227F"/>
    <w:rsid w:val="00522D8A"/>
    <w:rsid w:val="00527A34"/>
    <w:rsid w:val="00535872"/>
    <w:rsid w:val="00546CF5"/>
    <w:rsid w:val="005A1FAE"/>
    <w:rsid w:val="005B63FB"/>
    <w:rsid w:val="005D0BA2"/>
    <w:rsid w:val="006023CD"/>
    <w:rsid w:val="0062282E"/>
    <w:rsid w:val="006B001A"/>
    <w:rsid w:val="00701857"/>
    <w:rsid w:val="00703C87"/>
    <w:rsid w:val="0074108D"/>
    <w:rsid w:val="00835ACE"/>
    <w:rsid w:val="00873EC1"/>
    <w:rsid w:val="008B5BAA"/>
    <w:rsid w:val="008C33F9"/>
    <w:rsid w:val="008D3C01"/>
    <w:rsid w:val="008E0020"/>
    <w:rsid w:val="00915A2D"/>
    <w:rsid w:val="009361BD"/>
    <w:rsid w:val="009F6B02"/>
    <w:rsid w:val="00A260DA"/>
    <w:rsid w:val="00A61779"/>
    <w:rsid w:val="00A727FB"/>
    <w:rsid w:val="00AB7E75"/>
    <w:rsid w:val="00AE1B62"/>
    <w:rsid w:val="00AF1BCE"/>
    <w:rsid w:val="00B36E6A"/>
    <w:rsid w:val="00B96792"/>
    <w:rsid w:val="00C16E1F"/>
    <w:rsid w:val="00CF3D59"/>
    <w:rsid w:val="00D472D2"/>
    <w:rsid w:val="00D60B96"/>
    <w:rsid w:val="00D6124B"/>
    <w:rsid w:val="00D613B2"/>
    <w:rsid w:val="00D64F89"/>
    <w:rsid w:val="00E05B91"/>
    <w:rsid w:val="00E83FE6"/>
    <w:rsid w:val="00E864F0"/>
    <w:rsid w:val="00EB2E84"/>
    <w:rsid w:val="00ED2E6A"/>
    <w:rsid w:val="00EF027B"/>
    <w:rsid w:val="00EF4D13"/>
    <w:rsid w:val="00F440BA"/>
    <w:rsid w:val="00F76271"/>
    <w:rsid w:val="00FA65F5"/>
    <w:rsid w:val="00FA7404"/>
    <w:rsid w:val="00FB0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D93EF"/>
  <w15:chartTrackingRefBased/>
  <w15:docId w15:val="{C36B10C2-8BB1-49DD-9493-1D5D2A64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BA"/>
    <w:pPr>
      <w:spacing w:after="120" w:line="240" w:lineRule="auto"/>
      <w:jc w:val="both"/>
    </w:pPr>
    <w:rPr>
      <w:rFonts w:ascii="Arial" w:eastAsia="Calibri" w:hAnsi="Arial" w:cs="Arial"/>
      <w:color w:val="000000"/>
      <w:lang w:eastAsia="da-DK"/>
    </w:rPr>
  </w:style>
  <w:style w:type="paragraph" w:styleId="Overskrift1">
    <w:name w:val="heading 1"/>
    <w:basedOn w:val="Normal"/>
    <w:next w:val="Normal"/>
    <w:link w:val="Overskrift1Tegn"/>
    <w:qFormat/>
    <w:rsid w:val="000A2518"/>
    <w:pPr>
      <w:keepNext/>
      <w:spacing w:before="240" w:after="60"/>
      <w:outlineLvl w:val="0"/>
    </w:pPr>
    <w:rPr>
      <w:b/>
      <w:bCs/>
      <w:kern w:val="32"/>
      <w:sz w:val="28"/>
      <w:szCs w:val="32"/>
    </w:rPr>
  </w:style>
  <w:style w:type="paragraph" w:styleId="Overskrift2">
    <w:name w:val="heading 2"/>
    <w:basedOn w:val="Normal"/>
    <w:next w:val="Normal"/>
    <w:link w:val="Overskrift2Tegn"/>
    <w:uiPriority w:val="9"/>
    <w:semiHidden/>
    <w:unhideWhenUsed/>
    <w:qFormat/>
    <w:rsid w:val="000A25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A2518"/>
    <w:rPr>
      <w:rFonts w:ascii="Arial" w:eastAsia="Times New Roman" w:hAnsi="Arial" w:cs="Arial"/>
      <w:b/>
      <w:bCs/>
      <w:color w:val="000000"/>
      <w:kern w:val="32"/>
      <w:sz w:val="28"/>
      <w:szCs w:val="32"/>
      <w:lang w:eastAsia="da-DK"/>
    </w:rPr>
  </w:style>
  <w:style w:type="character" w:styleId="Hyperlink">
    <w:name w:val="Hyperlink"/>
    <w:uiPriority w:val="99"/>
    <w:unhideWhenUsed/>
    <w:rsid w:val="000A2518"/>
    <w:rPr>
      <w:color w:val="0000FF"/>
      <w:u w:val="single"/>
    </w:rPr>
  </w:style>
  <w:style w:type="paragraph" w:styleId="Listeafsnit">
    <w:name w:val="List Paragraph"/>
    <w:basedOn w:val="Normal"/>
    <w:uiPriority w:val="34"/>
    <w:qFormat/>
    <w:rsid w:val="000A2518"/>
    <w:pPr>
      <w:ind w:left="720"/>
    </w:pPr>
    <w:rPr>
      <w:rFonts w:ascii="Calibri" w:hAnsi="Calibri"/>
      <w:sz w:val="20"/>
      <w:szCs w:val="20"/>
      <w:lang w:eastAsia="en-US"/>
    </w:rPr>
  </w:style>
  <w:style w:type="character" w:customStyle="1" w:styleId="O2-indholdTegn">
    <w:name w:val="O2 - indhold Tegn"/>
    <w:basedOn w:val="Standardskrifttypeiafsnit"/>
    <w:link w:val="O2-indhold"/>
    <w:locked/>
    <w:rsid w:val="00F440BA"/>
    <w:rPr>
      <w:rFonts w:ascii="Arial" w:eastAsia="Calibri" w:hAnsi="Arial" w:cs="Arial"/>
      <w:color w:val="000000"/>
      <w:lang w:eastAsia="da-DK"/>
    </w:rPr>
  </w:style>
  <w:style w:type="paragraph" w:customStyle="1" w:styleId="O2-indhold">
    <w:name w:val="O2 - indhold"/>
    <w:basedOn w:val="Listeafsnit"/>
    <w:link w:val="O2-indholdTegn"/>
    <w:qFormat/>
    <w:rsid w:val="00F440BA"/>
    <w:pPr>
      <w:numPr>
        <w:numId w:val="20"/>
      </w:numPr>
    </w:pPr>
    <w:rPr>
      <w:rFonts w:ascii="Arial" w:hAnsi="Arial"/>
      <w:sz w:val="22"/>
      <w:szCs w:val="22"/>
      <w:lang w:eastAsia="da-DK"/>
    </w:rPr>
  </w:style>
  <w:style w:type="character" w:customStyle="1" w:styleId="Overskrift2Tegn">
    <w:name w:val="Overskrift 2 Tegn"/>
    <w:basedOn w:val="Standardskrifttypeiafsnit"/>
    <w:link w:val="Overskrift2"/>
    <w:uiPriority w:val="9"/>
    <w:semiHidden/>
    <w:rsid w:val="000A2518"/>
    <w:rPr>
      <w:rFonts w:asciiTheme="majorHAnsi" w:eastAsiaTheme="majorEastAsia" w:hAnsiTheme="majorHAnsi" w:cstheme="majorBidi"/>
      <w:color w:val="2E74B5" w:themeColor="accent1" w:themeShade="BF"/>
      <w:sz w:val="26"/>
      <w:szCs w:val="26"/>
      <w:lang w:eastAsia="da-DK"/>
    </w:rPr>
  </w:style>
  <w:style w:type="paragraph" w:customStyle="1" w:styleId="ng-scope">
    <w:name w:val="ng-scope"/>
    <w:basedOn w:val="Normal"/>
    <w:rsid w:val="00E864F0"/>
    <w:pPr>
      <w:spacing w:before="100" w:beforeAutospacing="1" w:after="100" w:afterAutospacing="1"/>
      <w:jc w:val="left"/>
    </w:pPr>
    <w:rPr>
      <w:rFonts w:ascii="Times New Roman" w:hAnsi="Times New Roman" w:cs="Times New Roman"/>
      <w:color w:val="auto"/>
      <w:sz w:val="24"/>
      <w:szCs w:val="24"/>
    </w:rPr>
  </w:style>
  <w:style w:type="character" w:styleId="Strk">
    <w:name w:val="Strong"/>
    <w:basedOn w:val="Standardskrifttypeiafsnit"/>
    <w:uiPriority w:val="22"/>
    <w:qFormat/>
    <w:rsid w:val="00E864F0"/>
    <w:rPr>
      <w:b/>
      <w:bCs/>
    </w:rPr>
  </w:style>
  <w:style w:type="paragraph" w:styleId="NormalWeb">
    <w:name w:val="Normal (Web)"/>
    <w:basedOn w:val="Normal"/>
    <w:uiPriority w:val="99"/>
    <w:semiHidden/>
    <w:unhideWhenUsed/>
    <w:rsid w:val="00A61779"/>
    <w:pPr>
      <w:spacing w:before="100" w:beforeAutospacing="1" w:after="100" w:afterAutospacing="1"/>
      <w:jc w:val="left"/>
    </w:pPr>
    <w:rPr>
      <w:rFonts w:ascii="Times New Roman" w:hAnsi="Times New Roman" w:cs="Times New Roman"/>
      <w:color w:val="auto"/>
      <w:sz w:val="24"/>
      <w:szCs w:val="24"/>
    </w:rPr>
  </w:style>
  <w:style w:type="character" w:styleId="Ulstomtale">
    <w:name w:val="Unresolved Mention"/>
    <w:basedOn w:val="Standardskrifttypeiafsnit"/>
    <w:uiPriority w:val="99"/>
    <w:semiHidden/>
    <w:unhideWhenUsed/>
    <w:rsid w:val="004F00ED"/>
    <w:rPr>
      <w:color w:val="605E5C"/>
      <w:shd w:val="clear" w:color="auto" w:fill="E1DFDD"/>
    </w:rPr>
  </w:style>
  <w:style w:type="character" w:styleId="BesgtLink">
    <w:name w:val="FollowedHyperlink"/>
    <w:basedOn w:val="Standardskrifttypeiafsnit"/>
    <w:uiPriority w:val="99"/>
    <w:semiHidden/>
    <w:unhideWhenUsed/>
    <w:rsid w:val="0027756C"/>
    <w:rPr>
      <w:color w:val="954F72" w:themeColor="followedHyperlink"/>
      <w:u w:val="single"/>
    </w:rPr>
  </w:style>
  <w:style w:type="paragraph" w:styleId="Sidehoved">
    <w:name w:val="header"/>
    <w:basedOn w:val="Normal"/>
    <w:link w:val="SidehovedTegn"/>
    <w:uiPriority w:val="99"/>
    <w:unhideWhenUsed/>
    <w:rsid w:val="00835ACE"/>
    <w:pPr>
      <w:tabs>
        <w:tab w:val="center" w:pos="4819"/>
        <w:tab w:val="right" w:pos="9638"/>
      </w:tabs>
      <w:spacing w:after="0"/>
    </w:pPr>
  </w:style>
  <w:style w:type="character" w:customStyle="1" w:styleId="SidehovedTegn">
    <w:name w:val="Sidehoved Tegn"/>
    <w:basedOn w:val="Standardskrifttypeiafsnit"/>
    <w:link w:val="Sidehoved"/>
    <w:uiPriority w:val="99"/>
    <w:rsid w:val="00835ACE"/>
    <w:rPr>
      <w:rFonts w:ascii="Arial" w:eastAsia="Calibri" w:hAnsi="Arial" w:cs="Arial"/>
      <w:color w:val="000000"/>
      <w:lang w:eastAsia="da-DK"/>
    </w:rPr>
  </w:style>
  <w:style w:type="paragraph" w:styleId="Sidefod">
    <w:name w:val="footer"/>
    <w:basedOn w:val="Normal"/>
    <w:link w:val="SidefodTegn"/>
    <w:uiPriority w:val="99"/>
    <w:unhideWhenUsed/>
    <w:rsid w:val="00835ACE"/>
    <w:pPr>
      <w:tabs>
        <w:tab w:val="center" w:pos="4819"/>
        <w:tab w:val="right" w:pos="9638"/>
      </w:tabs>
      <w:spacing w:after="0"/>
    </w:pPr>
  </w:style>
  <w:style w:type="character" w:customStyle="1" w:styleId="SidefodTegn">
    <w:name w:val="Sidefod Tegn"/>
    <w:basedOn w:val="Standardskrifttypeiafsnit"/>
    <w:link w:val="Sidefod"/>
    <w:uiPriority w:val="99"/>
    <w:rsid w:val="00835ACE"/>
    <w:rPr>
      <w:rFonts w:ascii="Arial" w:eastAsia="Calibri" w:hAnsi="Arial" w:cs="Arial"/>
      <w:color w:val="000000"/>
      <w:lang w:eastAsia="da-DK"/>
    </w:rPr>
  </w:style>
  <w:style w:type="paragraph" w:styleId="Korrektur">
    <w:name w:val="Revision"/>
    <w:hidden/>
    <w:uiPriority w:val="99"/>
    <w:semiHidden/>
    <w:rsid w:val="00915A2D"/>
    <w:pPr>
      <w:spacing w:after="0" w:line="240" w:lineRule="auto"/>
    </w:pPr>
    <w:rPr>
      <w:rFonts w:ascii="Arial" w:eastAsia="Calibri"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676">
      <w:bodyDiv w:val="1"/>
      <w:marLeft w:val="0"/>
      <w:marRight w:val="0"/>
      <w:marTop w:val="0"/>
      <w:marBottom w:val="0"/>
      <w:divBdr>
        <w:top w:val="none" w:sz="0" w:space="0" w:color="auto"/>
        <w:left w:val="none" w:sz="0" w:space="0" w:color="auto"/>
        <w:bottom w:val="none" w:sz="0" w:space="0" w:color="auto"/>
        <w:right w:val="none" w:sz="0" w:space="0" w:color="auto"/>
      </w:divBdr>
    </w:div>
    <w:div w:id="235360776">
      <w:bodyDiv w:val="1"/>
      <w:marLeft w:val="0"/>
      <w:marRight w:val="0"/>
      <w:marTop w:val="0"/>
      <w:marBottom w:val="0"/>
      <w:divBdr>
        <w:top w:val="none" w:sz="0" w:space="0" w:color="auto"/>
        <w:left w:val="none" w:sz="0" w:space="0" w:color="auto"/>
        <w:bottom w:val="none" w:sz="0" w:space="0" w:color="auto"/>
        <w:right w:val="none" w:sz="0" w:space="0" w:color="auto"/>
      </w:divBdr>
    </w:div>
    <w:div w:id="541600371">
      <w:bodyDiv w:val="1"/>
      <w:marLeft w:val="0"/>
      <w:marRight w:val="0"/>
      <w:marTop w:val="0"/>
      <w:marBottom w:val="0"/>
      <w:divBdr>
        <w:top w:val="none" w:sz="0" w:space="0" w:color="auto"/>
        <w:left w:val="none" w:sz="0" w:space="0" w:color="auto"/>
        <w:bottom w:val="none" w:sz="0" w:space="0" w:color="auto"/>
        <w:right w:val="none" w:sz="0" w:space="0" w:color="auto"/>
      </w:divBdr>
    </w:div>
    <w:div w:id="1057123941">
      <w:bodyDiv w:val="1"/>
      <w:marLeft w:val="0"/>
      <w:marRight w:val="0"/>
      <w:marTop w:val="0"/>
      <w:marBottom w:val="0"/>
      <w:divBdr>
        <w:top w:val="none" w:sz="0" w:space="0" w:color="auto"/>
        <w:left w:val="none" w:sz="0" w:space="0" w:color="auto"/>
        <w:bottom w:val="none" w:sz="0" w:space="0" w:color="auto"/>
        <w:right w:val="none" w:sz="0" w:space="0" w:color="auto"/>
      </w:divBdr>
    </w:div>
    <w:div w:id="1082065673">
      <w:bodyDiv w:val="1"/>
      <w:marLeft w:val="0"/>
      <w:marRight w:val="0"/>
      <w:marTop w:val="0"/>
      <w:marBottom w:val="0"/>
      <w:divBdr>
        <w:top w:val="none" w:sz="0" w:space="0" w:color="auto"/>
        <w:left w:val="none" w:sz="0" w:space="0" w:color="auto"/>
        <w:bottom w:val="none" w:sz="0" w:space="0" w:color="auto"/>
        <w:right w:val="none" w:sz="0" w:space="0" w:color="auto"/>
      </w:divBdr>
    </w:div>
    <w:div w:id="1225145234">
      <w:bodyDiv w:val="1"/>
      <w:marLeft w:val="0"/>
      <w:marRight w:val="0"/>
      <w:marTop w:val="0"/>
      <w:marBottom w:val="0"/>
      <w:divBdr>
        <w:top w:val="none" w:sz="0" w:space="0" w:color="auto"/>
        <w:left w:val="none" w:sz="0" w:space="0" w:color="auto"/>
        <w:bottom w:val="none" w:sz="0" w:space="0" w:color="auto"/>
        <w:right w:val="none" w:sz="0" w:space="0" w:color="auto"/>
      </w:divBdr>
    </w:div>
    <w:div w:id="1323965323">
      <w:bodyDiv w:val="1"/>
      <w:marLeft w:val="0"/>
      <w:marRight w:val="0"/>
      <w:marTop w:val="0"/>
      <w:marBottom w:val="0"/>
      <w:divBdr>
        <w:top w:val="none" w:sz="0" w:space="0" w:color="auto"/>
        <w:left w:val="none" w:sz="0" w:space="0" w:color="auto"/>
        <w:bottom w:val="none" w:sz="0" w:space="0" w:color="auto"/>
        <w:right w:val="none" w:sz="0" w:space="0" w:color="auto"/>
      </w:divBdr>
    </w:div>
    <w:div w:id="1353799485">
      <w:bodyDiv w:val="1"/>
      <w:marLeft w:val="0"/>
      <w:marRight w:val="0"/>
      <w:marTop w:val="0"/>
      <w:marBottom w:val="0"/>
      <w:divBdr>
        <w:top w:val="none" w:sz="0" w:space="0" w:color="auto"/>
        <w:left w:val="none" w:sz="0" w:space="0" w:color="auto"/>
        <w:bottom w:val="none" w:sz="0" w:space="0" w:color="auto"/>
        <w:right w:val="none" w:sz="0" w:space="0" w:color="auto"/>
      </w:divBdr>
    </w:div>
    <w:div w:id="1495418017">
      <w:bodyDiv w:val="1"/>
      <w:marLeft w:val="0"/>
      <w:marRight w:val="0"/>
      <w:marTop w:val="0"/>
      <w:marBottom w:val="0"/>
      <w:divBdr>
        <w:top w:val="none" w:sz="0" w:space="0" w:color="auto"/>
        <w:left w:val="none" w:sz="0" w:space="0" w:color="auto"/>
        <w:bottom w:val="none" w:sz="0" w:space="0" w:color="auto"/>
        <w:right w:val="none" w:sz="0" w:space="0" w:color="auto"/>
      </w:divBdr>
    </w:div>
    <w:div w:id="1526675747">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sChild>
        <w:div w:id="1696153410">
          <w:marLeft w:val="0"/>
          <w:marRight w:val="0"/>
          <w:marTop w:val="0"/>
          <w:marBottom w:val="360"/>
          <w:divBdr>
            <w:top w:val="none" w:sz="0" w:space="0" w:color="auto"/>
            <w:left w:val="none" w:sz="0" w:space="0" w:color="auto"/>
            <w:bottom w:val="none" w:sz="0" w:space="0" w:color="auto"/>
            <w:right w:val="none" w:sz="0" w:space="0" w:color="auto"/>
          </w:divBdr>
          <w:divsChild>
            <w:div w:id="2347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7270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eger.dk/media/yzkj2yvr/pixinye_ydelser_i_almen_praksis_ok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icap.dk/politik/dhs-politiske-temaer/sundhedspolitik/saadan-faar-du-sundhedstjek" TargetMode="External"/><Relationship Id="rId5" Type="http://schemas.openxmlformats.org/officeDocument/2006/relationships/webSettings" Target="webSettings.xml"/><Relationship Id="rId10" Type="http://schemas.openxmlformats.org/officeDocument/2006/relationships/image" Target="cid:image001.png@01DAAC6E.FAF39B6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5621-7081-4A63-9661-178E7403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1117</Words>
  <Characters>6814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Instruks – Sundhedstjek til borgere over 18 år med betydelig og varig nedsat fysisk og psykisk funktionsevne, der bl.a. modtager mestringsvejledning</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Sundhedstjek til borgere over 18 år med betydelig og varig nedsat fysisk og psykisk funktionsevne, der bl.a. modtager mestringsvejledning</dc:title>
  <dc:subject/>
  <dc:creator>Ghita Marianne Steenholt</dc:creator>
  <cp:keywords/>
  <dc:description/>
  <cp:lastModifiedBy>Lise Suhr Pedersen</cp:lastModifiedBy>
  <cp:revision>8</cp:revision>
  <dcterms:created xsi:type="dcterms:W3CDTF">2024-06-17T13:45:00Z</dcterms:created>
  <dcterms:modified xsi:type="dcterms:W3CDTF">2024-08-16T11:52:00Z</dcterms:modified>
</cp:coreProperties>
</file>