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4ECE" w14:textId="65EDEB56" w:rsidR="00D33603" w:rsidRPr="0075495E" w:rsidRDefault="000A2518" w:rsidP="00002FF4">
      <w:pPr>
        <w:pStyle w:val="Overskrift1"/>
        <w:rPr>
          <w:shd w:val="clear" w:color="auto" w:fill="FFFFFF"/>
        </w:rPr>
      </w:pPr>
      <w:bookmarkStart w:id="0" w:name="_Toc85793156"/>
      <w:r w:rsidRPr="0075495E">
        <w:t xml:space="preserve">Instruks – </w:t>
      </w:r>
      <w:r w:rsidRPr="00002FF4">
        <w:t>Sundhedstjek</w:t>
      </w:r>
      <w:r w:rsidRPr="0075495E">
        <w:rPr>
          <w:shd w:val="clear" w:color="auto" w:fill="FFFFFF"/>
        </w:rPr>
        <w:t xml:space="preserve"> til borgere over 18 år med betydelig og varig nedsat fysisk og psykisk funktionsevne, som opholder sig på et botilbud</w:t>
      </w:r>
      <w:r w:rsidR="00D33603" w:rsidRPr="0075495E">
        <w:rPr>
          <w:shd w:val="clear" w:color="auto" w:fill="FFFFFF"/>
        </w:rPr>
        <w:t>, bofællesskab eller lignende</w:t>
      </w:r>
      <w:bookmarkEnd w:id="0"/>
    </w:p>
    <w:p w14:paraId="39850A7B" w14:textId="77777777" w:rsidR="000A2518" w:rsidRDefault="000A2518" w:rsidP="001342FD"/>
    <w:tbl>
      <w:tblPr>
        <w:tblW w:w="10666" w:type="dxa"/>
        <w:tblInd w:w="-106" w:type="dxa"/>
        <w:tblCellMar>
          <w:top w:w="7" w:type="dxa"/>
          <w:left w:w="70" w:type="dxa"/>
          <w:right w:w="41" w:type="dxa"/>
        </w:tblCellMar>
        <w:tblLook w:val="04A0" w:firstRow="1" w:lastRow="0" w:firstColumn="1" w:lastColumn="0" w:noHBand="0" w:noVBand="1"/>
        <w:tblDescription w:val="Instruks – Sundhedstjek til borgere over 18 år med betydelig og varig nedsat fysisk og psykisk funktionsevne, som opholder sig på et botilbud, bofællesskab eller lignende"/>
      </w:tblPr>
      <w:tblGrid>
        <w:gridCol w:w="3363"/>
        <w:gridCol w:w="7303"/>
      </w:tblGrid>
      <w:tr w:rsidR="00002FF4" w14:paraId="18C13A38" w14:textId="77777777" w:rsidTr="008113E2">
        <w:trPr>
          <w:trHeight w:val="227"/>
          <w:tblHeader/>
        </w:trPr>
        <w:tc>
          <w:tcPr>
            <w:tcW w:w="3363" w:type="dxa"/>
            <w:tcBorders>
              <w:top w:val="single" w:sz="6" w:space="0" w:color="000000"/>
              <w:left w:val="single" w:sz="6" w:space="0" w:color="000000"/>
              <w:bottom w:val="single" w:sz="6" w:space="0" w:color="000000"/>
              <w:right w:val="single" w:sz="6" w:space="0" w:color="000000"/>
            </w:tcBorders>
            <w:shd w:val="clear" w:color="auto" w:fill="EAF1DD"/>
          </w:tcPr>
          <w:p w14:paraId="031492A7" w14:textId="66371EF0" w:rsidR="00002FF4" w:rsidRPr="001E42DE" w:rsidRDefault="00002FF4" w:rsidP="001E42DE">
            <w:pPr>
              <w:jc w:val="left"/>
              <w:rPr>
                <w:b/>
                <w:bCs/>
              </w:rPr>
            </w:pPr>
            <w:r>
              <w:rPr>
                <w:b/>
                <w:bCs/>
              </w:rPr>
              <w:t>Situation</w:t>
            </w:r>
          </w:p>
        </w:tc>
        <w:tc>
          <w:tcPr>
            <w:tcW w:w="7303" w:type="dxa"/>
            <w:tcBorders>
              <w:top w:val="single" w:sz="6" w:space="0" w:color="000000"/>
              <w:left w:val="single" w:sz="6" w:space="0" w:color="000000"/>
              <w:bottom w:val="single" w:sz="6" w:space="0" w:color="000000"/>
              <w:right w:val="single" w:sz="6" w:space="0" w:color="000000"/>
            </w:tcBorders>
          </w:tcPr>
          <w:p w14:paraId="474AB9A8" w14:textId="4ACC9412" w:rsidR="00002FF4" w:rsidRDefault="00002FF4" w:rsidP="001E42DE">
            <w:pPr>
              <w:jc w:val="left"/>
            </w:pPr>
            <w:r>
              <w:t>Instruks</w:t>
            </w:r>
          </w:p>
        </w:tc>
      </w:tr>
      <w:tr w:rsidR="0014601B" w14:paraId="15CC2070" w14:textId="77777777" w:rsidTr="008113E2">
        <w:trPr>
          <w:trHeight w:val="460"/>
        </w:trPr>
        <w:tc>
          <w:tcPr>
            <w:tcW w:w="3363" w:type="dxa"/>
            <w:tcBorders>
              <w:top w:val="single" w:sz="6" w:space="0" w:color="000000"/>
              <w:left w:val="single" w:sz="6" w:space="0" w:color="000000"/>
              <w:bottom w:val="single" w:sz="6" w:space="0" w:color="000000"/>
              <w:right w:val="single" w:sz="6" w:space="0" w:color="000000"/>
            </w:tcBorders>
            <w:shd w:val="clear" w:color="auto" w:fill="EAF1DD"/>
            <w:hideMark/>
          </w:tcPr>
          <w:p w14:paraId="3FEFDBC3" w14:textId="77777777" w:rsidR="000A2518" w:rsidRPr="001E42DE" w:rsidRDefault="000A2518" w:rsidP="001E42DE">
            <w:pPr>
              <w:jc w:val="left"/>
              <w:rPr>
                <w:b/>
                <w:bCs/>
              </w:rPr>
            </w:pPr>
            <w:r w:rsidRPr="001E42DE">
              <w:rPr>
                <w:b/>
                <w:bCs/>
              </w:rPr>
              <w:t xml:space="preserve">Personalegrupper omfattet af instruksen </w:t>
            </w:r>
          </w:p>
        </w:tc>
        <w:tc>
          <w:tcPr>
            <w:tcW w:w="7303" w:type="dxa"/>
            <w:tcBorders>
              <w:top w:val="single" w:sz="6" w:space="0" w:color="000000"/>
              <w:left w:val="single" w:sz="6" w:space="0" w:color="000000"/>
              <w:bottom w:val="single" w:sz="6" w:space="0" w:color="000000"/>
              <w:right w:val="single" w:sz="6" w:space="0" w:color="000000"/>
            </w:tcBorders>
          </w:tcPr>
          <w:p w14:paraId="4BF31B5B" w14:textId="77777777" w:rsidR="000A2518" w:rsidRDefault="00D64F89" w:rsidP="00D36605">
            <w:pPr>
              <w:spacing w:after="0"/>
              <w:jc w:val="left"/>
              <w:rPr>
                <w:b/>
              </w:rPr>
            </w:pPr>
            <w:r>
              <w:t>Personalet på botilbud/bofællesskaber er lig</w:t>
            </w:r>
            <w:r w:rsidR="00D36605">
              <w:t>nende</w:t>
            </w:r>
            <w:r>
              <w:t xml:space="preserve"> </w:t>
            </w:r>
            <w:r w:rsidR="00D36605">
              <w:t xml:space="preserve">på Socialområdet </w:t>
            </w:r>
            <w:r>
              <w:t>i Randers kommune</w:t>
            </w:r>
            <w:r w:rsidR="00D36605">
              <w:t>.</w:t>
            </w:r>
          </w:p>
          <w:p w14:paraId="0CF45E23" w14:textId="721FE077" w:rsidR="00D36605" w:rsidRPr="00D36605" w:rsidRDefault="00D36605" w:rsidP="001E42DE">
            <w:pPr>
              <w:jc w:val="left"/>
              <w:rPr>
                <w:b/>
              </w:rPr>
            </w:pPr>
          </w:p>
        </w:tc>
      </w:tr>
      <w:tr w:rsidR="0014601B" w14:paraId="20C8C606" w14:textId="77777777" w:rsidTr="008113E2">
        <w:trPr>
          <w:trHeight w:val="683"/>
        </w:trPr>
        <w:tc>
          <w:tcPr>
            <w:tcW w:w="3363" w:type="dxa"/>
            <w:tcBorders>
              <w:top w:val="single" w:sz="6" w:space="0" w:color="000000"/>
              <w:left w:val="single" w:sz="6" w:space="0" w:color="000000"/>
              <w:bottom w:val="single" w:sz="6" w:space="0" w:color="000000"/>
              <w:right w:val="single" w:sz="6" w:space="0" w:color="000000"/>
            </w:tcBorders>
            <w:shd w:val="clear" w:color="auto" w:fill="EAF1DD"/>
            <w:hideMark/>
          </w:tcPr>
          <w:p w14:paraId="5D3D72DC" w14:textId="2D1E83AF" w:rsidR="000A2518" w:rsidRPr="001E42DE" w:rsidRDefault="000A2518" w:rsidP="001E42DE">
            <w:pPr>
              <w:jc w:val="left"/>
              <w:rPr>
                <w:b/>
                <w:bCs/>
              </w:rPr>
            </w:pPr>
            <w:r w:rsidRPr="001E42DE">
              <w:rPr>
                <w:b/>
                <w:bCs/>
              </w:rPr>
              <w:t>Formål med instruksen</w:t>
            </w:r>
          </w:p>
          <w:p w14:paraId="196C504B" w14:textId="77777777" w:rsidR="000A2518" w:rsidRPr="001E42DE" w:rsidRDefault="000A2518" w:rsidP="001E42DE">
            <w:pPr>
              <w:jc w:val="left"/>
              <w:rPr>
                <w:b/>
                <w:bCs/>
              </w:rPr>
            </w:pPr>
            <w:r w:rsidRPr="001E42DE">
              <w:rPr>
                <w:b/>
                <w:bCs/>
              </w:rPr>
              <w:t xml:space="preserve"> </w:t>
            </w:r>
          </w:p>
        </w:tc>
        <w:tc>
          <w:tcPr>
            <w:tcW w:w="7303" w:type="dxa"/>
            <w:tcBorders>
              <w:top w:val="single" w:sz="6" w:space="0" w:color="000000"/>
              <w:left w:val="single" w:sz="6" w:space="0" w:color="000000"/>
              <w:bottom w:val="single" w:sz="6" w:space="0" w:color="000000"/>
              <w:right w:val="single" w:sz="6" w:space="0" w:color="000000"/>
            </w:tcBorders>
            <w:hideMark/>
          </w:tcPr>
          <w:p w14:paraId="6B511613" w14:textId="77777777" w:rsidR="000A2518" w:rsidRDefault="000A2518" w:rsidP="001E42DE">
            <w:pPr>
              <w:jc w:val="left"/>
            </w:pPr>
            <w:r w:rsidRPr="00E864F0">
              <w:t>At give personalet viden om, hvordan de skal forholde sig i forbindelse med</w:t>
            </w:r>
            <w:r w:rsidR="00E864F0">
              <w:t xml:space="preserve"> sundhedstjek i almen praksis.</w:t>
            </w:r>
          </w:p>
        </w:tc>
      </w:tr>
      <w:tr w:rsidR="00E864F0" w14:paraId="7D281992" w14:textId="77777777" w:rsidTr="008113E2">
        <w:trPr>
          <w:trHeight w:val="1246"/>
        </w:trPr>
        <w:tc>
          <w:tcPr>
            <w:tcW w:w="3363" w:type="dxa"/>
            <w:tcBorders>
              <w:top w:val="single" w:sz="6" w:space="0" w:color="000000"/>
              <w:left w:val="single" w:sz="6" w:space="0" w:color="000000"/>
              <w:bottom w:val="single" w:sz="6" w:space="0" w:color="000000"/>
              <w:right w:val="single" w:sz="6" w:space="0" w:color="000000"/>
            </w:tcBorders>
            <w:shd w:val="clear" w:color="auto" w:fill="EAF1DD"/>
          </w:tcPr>
          <w:p w14:paraId="5161960A" w14:textId="77777777" w:rsidR="00E864F0" w:rsidRPr="001E42DE" w:rsidRDefault="00E864F0" w:rsidP="001E42DE">
            <w:pPr>
              <w:jc w:val="left"/>
              <w:rPr>
                <w:b/>
                <w:bCs/>
              </w:rPr>
            </w:pPr>
            <w:r w:rsidRPr="001E42DE">
              <w:rPr>
                <w:b/>
                <w:bCs/>
              </w:rPr>
              <w:t>Formål med sundhedstjekket</w:t>
            </w:r>
          </w:p>
        </w:tc>
        <w:tc>
          <w:tcPr>
            <w:tcW w:w="7303" w:type="dxa"/>
            <w:tcBorders>
              <w:top w:val="single" w:sz="6" w:space="0" w:color="000000"/>
              <w:left w:val="single" w:sz="6" w:space="0" w:color="000000"/>
              <w:bottom w:val="single" w:sz="6" w:space="0" w:color="000000"/>
              <w:right w:val="single" w:sz="6" w:space="0" w:color="000000"/>
            </w:tcBorders>
          </w:tcPr>
          <w:p w14:paraId="6FB682C9" w14:textId="2534B1EA" w:rsidR="00E864F0" w:rsidRPr="001342FD" w:rsidRDefault="00E864F0" w:rsidP="001E42DE">
            <w:pPr>
              <w:jc w:val="left"/>
            </w:pPr>
            <w:r>
              <w:t xml:space="preserve">At forebygge </w:t>
            </w:r>
            <w:r w:rsidRPr="001342FD">
              <w:t>funktionstab og sygdom herunder diagnosticere og behandle somatisk sygdom rettidigt.</w:t>
            </w:r>
          </w:p>
          <w:p w14:paraId="502A2DB3" w14:textId="7F1CF61A" w:rsidR="00E864F0" w:rsidRPr="00E864F0" w:rsidRDefault="00E864F0" w:rsidP="001E42DE">
            <w:pPr>
              <w:spacing w:after="240"/>
              <w:jc w:val="left"/>
            </w:pPr>
            <w:r w:rsidRPr="001342FD">
              <w:t xml:space="preserve">Hensigten med sundhedstjekket er at opspore </w:t>
            </w:r>
            <w:r w:rsidR="00BA6BE9" w:rsidRPr="001342FD">
              <w:t>uopdaget</w:t>
            </w:r>
            <w:r w:rsidRPr="001342FD">
              <w:t xml:space="preserve"> somatisk sygdom, og at forebygge</w:t>
            </w:r>
            <w:r w:rsidRPr="00E9635F">
              <w:t xml:space="preserve"> eller mindske sandsynligheden for, at kroniske sygdomme udvikles eller forværres. Desuden er der et ønske om at understøtte et godt tværsektoralt samarbejde og få et overblik over borgernes samlede behandlings- og plejebehov.</w:t>
            </w:r>
          </w:p>
        </w:tc>
      </w:tr>
      <w:tr w:rsidR="0014601B" w14:paraId="57DC9A06" w14:textId="77777777" w:rsidTr="008113E2">
        <w:trPr>
          <w:trHeight w:val="782"/>
        </w:trPr>
        <w:tc>
          <w:tcPr>
            <w:tcW w:w="3363" w:type="dxa"/>
            <w:tcBorders>
              <w:top w:val="single" w:sz="6" w:space="0" w:color="000000"/>
              <w:left w:val="single" w:sz="6" w:space="0" w:color="000000"/>
              <w:bottom w:val="single" w:sz="6" w:space="0" w:color="000000"/>
              <w:right w:val="single" w:sz="6" w:space="0" w:color="000000"/>
            </w:tcBorders>
            <w:shd w:val="clear" w:color="auto" w:fill="EAF1DD"/>
            <w:hideMark/>
          </w:tcPr>
          <w:p w14:paraId="0669E550" w14:textId="77777777" w:rsidR="000A2518" w:rsidRPr="001E42DE" w:rsidRDefault="000A2518" w:rsidP="001E42DE">
            <w:pPr>
              <w:jc w:val="left"/>
              <w:rPr>
                <w:b/>
                <w:bCs/>
              </w:rPr>
            </w:pPr>
            <w:r w:rsidRPr="001E42DE">
              <w:rPr>
                <w:b/>
                <w:bCs/>
              </w:rPr>
              <w:t>Ansvar</w:t>
            </w:r>
          </w:p>
        </w:tc>
        <w:tc>
          <w:tcPr>
            <w:tcW w:w="7303" w:type="dxa"/>
            <w:tcBorders>
              <w:top w:val="single" w:sz="6" w:space="0" w:color="000000"/>
              <w:left w:val="single" w:sz="6" w:space="0" w:color="000000"/>
              <w:bottom w:val="single" w:sz="6" w:space="0" w:color="000000"/>
              <w:right w:val="single" w:sz="6" w:space="0" w:color="000000"/>
            </w:tcBorders>
          </w:tcPr>
          <w:p w14:paraId="278ED780" w14:textId="77777777" w:rsidR="000A2518" w:rsidRPr="001342FD" w:rsidRDefault="000A2518" w:rsidP="001E42DE">
            <w:pPr>
              <w:pStyle w:val="O2-indhold"/>
              <w:jc w:val="left"/>
            </w:pPr>
            <w:r>
              <w:t xml:space="preserve">Det er </w:t>
            </w:r>
            <w:r w:rsidRPr="001342FD">
              <w:t>ledelsens ansvar at sikre en skriftlig instruks og korrekt opdatering af denne</w:t>
            </w:r>
          </w:p>
          <w:p w14:paraId="20A116E1" w14:textId="67F0A771" w:rsidR="00701857" w:rsidRPr="00701857" w:rsidRDefault="000A2518" w:rsidP="001E42DE">
            <w:pPr>
              <w:pStyle w:val="O2-indhold"/>
              <w:jc w:val="left"/>
              <w:rPr>
                <w:b/>
              </w:rPr>
            </w:pPr>
            <w:r w:rsidRPr="001342FD">
              <w:t>Det er personalets</w:t>
            </w:r>
            <w:r>
              <w:t xml:space="preserve"> ansvar </w:t>
            </w:r>
            <w:r w:rsidR="005A32E0">
              <w:t>at følge den skriftlig instruks</w:t>
            </w:r>
          </w:p>
          <w:p w14:paraId="7F362227" w14:textId="1D45379D" w:rsidR="00E9635F" w:rsidRPr="00A37DD2" w:rsidRDefault="00701857" w:rsidP="001E42DE">
            <w:pPr>
              <w:pStyle w:val="O2-indhold"/>
              <w:jc w:val="left"/>
              <w:rPr>
                <w:b/>
              </w:rPr>
            </w:pPr>
            <w:r>
              <w:t>Fra 1. januar 2022 skal alle praktiserende læger tilbyde sundhedstjek til voksne med betydelig og varigt nedsat fysisk eller psykisk funktionsevne, som bor i botilb</w:t>
            </w:r>
            <w:r w:rsidR="005A32E0">
              <w:t>ud, bofællesskab eller lignende</w:t>
            </w:r>
          </w:p>
          <w:p w14:paraId="5A89144C" w14:textId="12E7D7C3" w:rsidR="000A2518" w:rsidRDefault="00000000" w:rsidP="001E42DE">
            <w:pPr>
              <w:spacing w:after="240"/>
              <w:jc w:val="left"/>
            </w:pPr>
            <w:hyperlink r:id="rId8" w:history="1">
              <w:r w:rsidR="00E9635F" w:rsidRPr="004F00ED">
                <w:rPr>
                  <w:rStyle w:val="Hyperlink"/>
                </w:rPr>
                <w:t>l</w:t>
              </w:r>
              <w:r w:rsidR="00E9635F">
                <w:rPr>
                  <w:rStyle w:val="Hyperlink"/>
                </w:rPr>
                <w:t>æ</w:t>
              </w:r>
              <w:r w:rsidR="00E9635F" w:rsidRPr="004F00ED">
                <w:rPr>
                  <w:rStyle w:val="Hyperlink"/>
                </w:rPr>
                <w:t>ger.dk/nye</w:t>
              </w:r>
              <w:r w:rsidR="00E9635F">
                <w:rPr>
                  <w:rStyle w:val="Hyperlink"/>
                </w:rPr>
                <w:t xml:space="preserve"> y</w:t>
              </w:r>
              <w:r w:rsidR="00E9635F" w:rsidRPr="004F00ED">
                <w:rPr>
                  <w:rStyle w:val="Hyperlink"/>
                </w:rPr>
                <w:t>delser_i_almenpraksis_ok22.pdf</w:t>
              </w:r>
            </w:hyperlink>
          </w:p>
        </w:tc>
      </w:tr>
      <w:tr w:rsidR="0014601B" w14:paraId="6B8ED79D" w14:textId="77777777" w:rsidTr="008113E2">
        <w:trPr>
          <w:trHeight w:val="782"/>
        </w:trPr>
        <w:tc>
          <w:tcPr>
            <w:tcW w:w="3363" w:type="dxa"/>
            <w:tcBorders>
              <w:top w:val="single" w:sz="6" w:space="0" w:color="000000"/>
              <w:left w:val="single" w:sz="6" w:space="0" w:color="000000"/>
              <w:bottom w:val="single" w:sz="6" w:space="0" w:color="000000"/>
              <w:right w:val="single" w:sz="6" w:space="0" w:color="000000"/>
            </w:tcBorders>
            <w:shd w:val="clear" w:color="auto" w:fill="EAF1DD"/>
          </w:tcPr>
          <w:p w14:paraId="450DC008" w14:textId="151A424D" w:rsidR="00E864F0" w:rsidRPr="001E42DE" w:rsidRDefault="00E864F0" w:rsidP="001E42DE">
            <w:pPr>
              <w:jc w:val="left"/>
              <w:rPr>
                <w:b/>
                <w:bCs/>
              </w:rPr>
            </w:pPr>
            <w:r w:rsidRPr="001E42DE">
              <w:rPr>
                <w:b/>
                <w:bCs/>
              </w:rPr>
              <w:t>Sådan etableres aftale om sundhedstjek</w:t>
            </w:r>
          </w:p>
          <w:p w14:paraId="3B8CC34E" w14:textId="77777777" w:rsidR="0014601B" w:rsidRPr="001E42DE" w:rsidRDefault="0014601B" w:rsidP="001E42DE">
            <w:pPr>
              <w:jc w:val="left"/>
              <w:rPr>
                <w:b/>
                <w:bCs/>
              </w:rPr>
            </w:pPr>
          </w:p>
        </w:tc>
        <w:tc>
          <w:tcPr>
            <w:tcW w:w="7303" w:type="dxa"/>
            <w:tcBorders>
              <w:top w:val="single" w:sz="6" w:space="0" w:color="000000"/>
              <w:left w:val="single" w:sz="6" w:space="0" w:color="000000"/>
              <w:bottom w:val="single" w:sz="6" w:space="0" w:color="000000"/>
              <w:right w:val="single" w:sz="6" w:space="0" w:color="000000"/>
            </w:tcBorders>
          </w:tcPr>
          <w:p w14:paraId="222D5D5B" w14:textId="04B2621A" w:rsidR="00F673EA" w:rsidRPr="00A37DD2" w:rsidRDefault="00F673EA" w:rsidP="001E42DE">
            <w:pPr>
              <w:jc w:val="left"/>
            </w:pPr>
            <w:r w:rsidRPr="00A37DD2">
              <w:rPr>
                <w:shd w:val="clear" w:color="auto" w:fill="FFFFFF"/>
              </w:rPr>
              <w:t xml:space="preserve">Det enkelte </w:t>
            </w:r>
            <w:r w:rsidRPr="001342FD">
              <w:t xml:space="preserve">bosted </w:t>
            </w:r>
            <w:r w:rsidR="00A37DD2" w:rsidRPr="001342FD">
              <w:t>motiverer</w:t>
            </w:r>
            <w:r w:rsidRPr="001342FD">
              <w:t xml:space="preserve"> borger til at bestille tid til sundhedstjek i den måned, hvor borgeren har fødselsdag</w:t>
            </w:r>
            <w:r w:rsidR="00A37DD2" w:rsidRPr="001342FD">
              <w:t>.</w:t>
            </w:r>
          </w:p>
          <w:p w14:paraId="4163339E" w14:textId="64D1D4B1" w:rsidR="00F673EA" w:rsidRPr="00F673EA" w:rsidRDefault="00F673EA" w:rsidP="001E42DE">
            <w:pPr>
              <w:pStyle w:val="O2-indhold"/>
              <w:jc w:val="left"/>
            </w:pPr>
            <w:r>
              <w:rPr>
                <w:shd w:val="clear" w:color="auto" w:fill="FFFFFF"/>
              </w:rPr>
              <w:t>Hvis borger ikke selv er i stand til at varetage kontakten indhentes der</w:t>
            </w:r>
            <w:r w:rsidR="0014601B" w:rsidRPr="00E864F0">
              <w:rPr>
                <w:shd w:val="clear" w:color="auto" w:fill="FFFFFF"/>
              </w:rPr>
              <w:t xml:space="preserve"> samtykke fra borger og </w:t>
            </w:r>
            <w:r w:rsidR="006E6E8E">
              <w:rPr>
                <w:shd w:val="clear" w:color="auto" w:fill="FFFFFF"/>
              </w:rPr>
              <w:t xml:space="preserve">der </w:t>
            </w:r>
            <w:r w:rsidR="0014601B" w:rsidRPr="00E864F0">
              <w:rPr>
                <w:shd w:val="clear" w:color="auto" w:fill="FFFFFF"/>
              </w:rPr>
              <w:t>tage</w:t>
            </w:r>
            <w:r w:rsidR="00D36605">
              <w:rPr>
                <w:shd w:val="clear" w:color="auto" w:fill="FFFFFF"/>
              </w:rPr>
              <w:t>s</w:t>
            </w:r>
            <w:r w:rsidR="0014601B" w:rsidRPr="00E864F0">
              <w:rPr>
                <w:shd w:val="clear" w:color="auto" w:fill="FFFFFF"/>
              </w:rPr>
              <w:t xml:space="preserve"> </w:t>
            </w:r>
            <w:r w:rsidR="00D64F89">
              <w:rPr>
                <w:shd w:val="clear" w:color="auto" w:fill="FFFFFF"/>
              </w:rPr>
              <w:t xml:space="preserve">i samarbejde med borgeren </w:t>
            </w:r>
            <w:r w:rsidR="0014601B" w:rsidRPr="00E864F0">
              <w:rPr>
                <w:shd w:val="clear" w:color="auto" w:fill="FFFFFF"/>
              </w:rPr>
              <w:t>kontakt til den praktiserende læge</w:t>
            </w:r>
          </w:p>
          <w:p w14:paraId="00DE4F24" w14:textId="634D12A1" w:rsidR="0014601B" w:rsidRDefault="0014601B" w:rsidP="001E42DE">
            <w:pPr>
              <w:pStyle w:val="O2-indhold"/>
              <w:spacing w:after="240"/>
              <w:jc w:val="left"/>
            </w:pPr>
            <w:r w:rsidRPr="00E864F0">
              <w:rPr>
                <w:shd w:val="clear" w:color="auto" w:fill="FFFFFF"/>
              </w:rPr>
              <w:t>Lægen, borgeren eller pårørende/værge kan også tag</w:t>
            </w:r>
            <w:r w:rsidR="005A32E0">
              <w:rPr>
                <w:shd w:val="clear" w:color="auto" w:fill="FFFFFF"/>
              </w:rPr>
              <w:t>e initiativ til et sundhedstjek</w:t>
            </w:r>
          </w:p>
        </w:tc>
      </w:tr>
      <w:tr w:rsidR="00701857" w14:paraId="46DA159F" w14:textId="77777777" w:rsidTr="008113E2">
        <w:trPr>
          <w:trHeight w:val="782"/>
        </w:trPr>
        <w:tc>
          <w:tcPr>
            <w:tcW w:w="3363" w:type="dxa"/>
            <w:tcBorders>
              <w:top w:val="single" w:sz="6" w:space="0" w:color="000000"/>
              <w:left w:val="single" w:sz="6" w:space="0" w:color="000000"/>
              <w:bottom w:val="single" w:sz="6" w:space="0" w:color="000000"/>
              <w:right w:val="single" w:sz="6" w:space="0" w:color="000000"/>
            </w:tcBorders>
            <w:shd w:val="clear" w:color="auto" w:fill="EAF1DD"/>
          </w:tcPr>
          <w:p w14:paraId="61F2A370" w14:textId="2B6E4B62" w:rsidR="00701857" w:rsidRPr="001E42DE" w:rsidRDefault="00E864F0" w:rsidP="001E42DE">
            <w:pPr>
              <w:jc w:val="left"/>
              <w:rPr>
                <w:b/>
                <w:bCs/>
              </w:rPr>
            </w:pPr>
            <w:r w:rsidRPr="001E42DE">
              <w:rPr>
                <w:b/>
                <w:bCs/>
              </w:rPr>
              <w:t xml:space="preserve">Sådan foregår </w:t>
            </w:r>
            <w:r w:rsidR="00701857" w:rsidRPr="001E42DE">
              <w:rPr>
                <w:b/>
                <w:bCs/>
              </w:rPr>
              <w:t>sundhedstjek</w:t>
            </w:r>
            <w:r w:rsidRPr="001E42DE">
              <w:rPr>
                <w:b/>
                <w:bCs/>
              </w:rPr>
              <w:t>ket</w:t>
            </w:r>
          </w:p>
          <w:p w14:paraId="3474D961" w14:textId="77777777" w:rsidR="00701857" w:rsidRPr="001E42DE" w:rsidRDefault="00701857" w:rsidP="001E42DE">
            <w:pPr>
              <w:jc w:val="left"/>
              <w:rPr>
                <w:b/>
                <w:bCs/>
              </w:rPr>
            </w:pPr>
          </w:p>
          <w:p w14:paraId="01C421FA" w14:textId="77777777" w:rsidR="00701857" w:rsidRPr="001E42DE" w:rsidRDefault="00701857" w:rsidP="001E42DE">
            <w:pPr>
              <w:jc w:val="left"/>
              <w:rPr>
                <w:b/>
                <w:bCs/>
              </w:rPr>
            </w:pPr>
          </w:p>
        </w:tc>
        <w:tc>
          <w:tcPr>
            <w:tcW w:w="7303" w:type="dxa"/>
            <w:tcBorders>
              <w:top w:val="single" w:sz="6" w:space="0" w:color="000000"/>
              <w:left w:val="single" w:sz="6" w:space="0" w:color="000000"/>
              <w:bottom w:val="single" w:sz="6" w:space="0" w:color="000000"/>
              <w:right w:val="single" w:sz="6" w:space="0" w:color="000000"/>
            </w:tcBorders>
          </w:tcPr>
          <w:p w14:paraId="5C582F16" w14:textId="4C1360B4" w:rsidR="00E864F0" w:rsidRPr="00A37DD2" w:rsidRDefault="00E864F0" w:rsidP="001E42DE">
            <w:pPr>
              <w:jc w:val="left"/>
              <w:rPr>
                <w:shd w:val="clear" w:color="auto" w:fill="FFFFFF"/>
              </w:rPr>
            </w:pPr>
            <w:r w:rsidRPr="00A37DD2">
              <w:rPr>
                <w:shd w:val="clear" w:color="auto" w:fill="FFFFFF"/>
              </w:rPr>
              <w:t>Sundhe</w:t>
            </w:r>
            <w:r w:rsidR="00F673EA" w:rsidRPr="00A37DD2">
              <w:rPr>
                <w:shd w:val="clear" w:color="auto" w:fill="FFFFFF"/>
              </w:rPr>
              <w:t>dstjekket foregår på bostedet</w:t>
            </w:r>
            <w:r w:rsidRPr="00A37DD2">
              <w:rPr>
                <w:shd w:val="clear" w:color="auto" w:fill="FFFFFF"/>
              </w:rPr>
              <w:t>, enten i borgerens bolig el</w:t>
            </w:r>
            <w:r w:rsidR="000E7D5C" w:rsidRPr="00A37DD2">
              <w:rPr>
                <w:shd w:val="clear" w:color="auto" w:fill="FFFFFF"/>
              </w:rPr>
              <w:t>ler i et lokale, som bostedet</w:t>
            </w:r>
            <w:r w:rsidRPr="00A37DD2">
              <w:rPr>
                <w:shd w:val="clear" w:color="auto" w:fill="FFFFFF"/>
              </w:rPr>
              <w:t xml:space="preserve"> stiller til rådighed. R</w:t>
            </w:r>
            <w:r w:rsidR="007B5FBF" w:rsidRPr="00A37DD2">
              <w:rPr>
                <w:shd w:val="clear" w:color="auto" w:fill="FFFFFF"/>
              </w:rPr>
              <w:t xml:space="preserve">elevant personale på bostedet </w:t>
            </w:r>
            <w:r w:rsidRPr="00A37DD2">
              <w:rPr>
                <w:shd w:val="clear" w:color="auto" w:fill="FFFFFF"/>
              </w:rPr>
              <w:t>deltager</w:t>
            </w:r>
            <w:r w:rsidR="00D36605">
              <w:rPr>
                <w:shd w:val="clear" w:color="auto" w:fill="FFFFFF"/>
              </w:rPr>
              <w:t>,</w:t>
            </w:r>
            <w:r w:rsidR="007B5FBF" w:rsidRPr="00A37DD2">
              <w:rPr>
                <w:shd w:val="clear" w:color="auto" w:fill="FFFFFF"/>
              </w:rPr>
              <w:t xml:space="preserve"> </w:t>
            </w:r>
            <w:r w:rsidR="00D36605" w:rsidRPr="00A37DD2">
              <w:rPr>
                <w:shd w:val="clear" w:color="auto" w:fill="FFFFFF"/>
              </w:rPr>
              <w:t>hvis</w:t>
            </w:r>
            <w:r w:rsidR="007B5FBF" w:rsidRPr="00A37DD2">
              <w:rPr>
                <w:shd w:val="clear" w:color="auto" w:fill="FFFFFF"/>
              </w:rPr>
              <w:t xml:space="preserve"> borgeren ønsker det</w:t>
            </w:r>
            <w:r w:rsidRPr="00A37DD2">
              <w:rPr>
                <w:shd w:val="clear" w:color="auto" w:fill="FFFFFF"/>
              </w:rPr>
              <w:t>, ligesom pårørende/værger og samarbejdspartnere k</w:t>
            </w:r>
            <w:r w:rsidR="007B5FBF" w:rsidRPr="00A37DD2">
              <w:rPr>
                <w:shd w:val="clear" w:color="auto" w:fill="FFFFFF"/>
              </w:rPr>
              <w:t>an deltage. Hvis borger/bostedet</w:t>
            </w:r>
            <w:r w:rsidRPr="00A37DD2">
              <w:rPr>
                <w:shd w:val="clear" w:color="auto" w:fill="FFFFFF"/>
              </w:rPr>
              <w:t xml:space="preserve"> foretrækker</w:t>
            </w:r>
            <w:r w:rsidR="00D36605">
              <w:rPr>
                <w:shd w:val="clear" w:color="auto" w:fill="FFFFFF"/>
              </w:rPr>
              <w:t>,</w:t>
            </w:r>
            <w:r w:rsidRPr="00A37DD2">
              <w:rPr>
                <w:shd w:val="clear" w:color="auto" w:fill="FFFFFF"/>
              </w:rPr>
              <w:t xml:space="preserve"> at sundhedstjek foregår i lægens praksis, kan dette aftales. </w:t>
            </w:r>
          </w:p>
          <w:p w14:paraId="3E1352D6" w14:textId="77777777" w:rsidR="00E864F0" w:rsidRPr="00A37DD2" w:rsidRDefault="00E864F0" w:rsidP="001E42DE">
            <w:pPr>
              <w:jc w:val="left"/>
              <w:rPr>
                <w:shd w:val="clear" w:color="auto" w:fill="FFFFFF"/>
              </w:rPr>
            </w:pPr>
            <w:r w:rsidRPr="00A37DD2">
              <w:rPr>
                <w:shd w:val="clear" w:color="auto" w:fill="FFFFFF"/>
              </w:rPr>
              <w:t xml:space="preserve">Sundhedstjekket sker i </w:t>
            </w:r>
            <w:r w:rsidR="007B5FBF" w:rsidRPr="00A37DD2">
              <w:rPr>
                <w:shd w:val="clear" w:color="auto" w:fill="FFFFFF"/>
              </w:rPr>
              <w:t>et samarbejde mellem bostedet, borger</w:t>
            </w:r>
            <w:r w:rsidRPr="00A37DD2">
              <w:rPr>
                <w:shd w:val="clear" w:color="auto" w:fill="FFFFFF"/>
              </w:rPr>
              <w:t xml:space="preserve"> og lægen. Særlige oplysni</w:t>
            </w:r>
            <w:r w:rsidR="007B5FBF" w:rsidRPr="00A37DD2">
              <w:rPr>
                <w:shd w:val="clear" w:color="auto" w:fill="FFFFFF"/>
              </w:rPr>
              <w:t xml:space="preserve">nger og opmærksomhedspunkter </w:t>
            </w:r>
            <w:r w:rsidRPr="00A37DD2">
              <w:rPr>
                <w:shd w:val="clear" w:color="auto" w:fill="FFFFFF"/>
              </w:rPr>
              <w:t>gives til lægen inden besøget. Ved behov skal blodprøver være taget, så svar ligger klar på dagen.</w:t>
            </w:r>
          </w:p>
          <w:p w14:paraId="065D9F2E" w14:textId="77777777" w:rsidR="00E864F0" w:rsidRPr="00597CBC" w:rsidRDefault="00E864F0" w:rsidP="001E42DE">
            <w:pPr>
              <w:jc w:val="left"/>
              <w:rPr>
                <w:shd w:val="clear" w:color="auto" w:fill="FFFFFF"/>
              </w:rPr>
            </w:pPr>
            <w:r w:rsidRPr="00597CBC">
              <w:rPr>
                <w:shd w:val="clear" w:color="auto" w:fill="FFFFFF"/>
              </w:rPr>
              <w:lastRenderedPageBreak/>
              <w:t>Sundhedstjekket omfatter bl.a. helbredsundersøgelse, gennemgang og ajourføring af medicin, udarbejdelse af plan for indsats (for eksempel forebyggende, konkrete behandlingsindsatser eller henvisning), samt hvis relevant aftale om opfølgende kontakt og/eller faste kontroller.</w:t>
            </w:r>
          </w:p>
          <w:p w14:paraId="50B06D78" w14:textId="77777777" w:rsidR="000A591F" w:rsidRPr="00597CBC" w:rsidRDefault="000A591F" w:rsidP="001E42DE">
            <w:pPr>
              <w:jc w:val="left"/>
              <w:rPr>
                <w:shd w:val="clear" w:color="auto" w:fill="FFFFFF"/>
              </w:rPr>
            </w:pPr>
            <w:r w:rsidRPr="00597CBC">
              <w:rPr>
                <w:shd w:val="clear" w:color="auto" w:fill="FFFFFF"/>
              </w:rPr>
              <w:t>Sundhedstjek udføres i det omfang, det kan lade sig gøre. Selvom der er giv</w:t>
            </w:r>
            <w:r w:rsidR="00F673EA" w:rsidRPr="00597CBC">
              <w:rPr>
                <w:shd w:val="clear" w:color="auto" w:fill="FFFFFF"/>
              </w:rPr>
              <w:t>et samtykke, kan nogle borgere</w:t>
            </w:r>
            <w:r w:rsidRPr="00597CBC">
              <w:rPr>
                <w:shd w:val="clear" w:color="auto" w:fill="FFFFFF"/>
              </w:rPr>
              <w:t xml:space="preserve"> modsætte sig blodprøvetagning og fysisk undersøgelse. </w:t>
            </w:r>
          </w:p>
          <w:p w14:paraId="1B64728E" w14:textId="77777777" w:rsidR="00701857" w:rsidRPr="001342FD" w:rsidRDefault="00701857" w:rsidP="001E42DE">
            <w:pPr>
              <w:jc w:val="left"/>
              <w:rPr>
                <w:b/>
                <w:bCs/>
              </w:rPr>
            </w:pPr>
            <w:r w:rsidRPr="001342FD">
              <w:rPr>
                <w:b/>
                <w:bCs/>
              </w:rPr>
              <w:t>Et sundhedstjek består </w:t>
            </w:r>
            <w:r w:rsidR="000A591F" w:rsidRPr="001342FD">
              <w:rPr>
                <w:b/>
                <w:bCs/>
              </w:rPr>
              <w:t xml:space="preserve">som udgangspunkt </w:t>
            </w:r>
            <w:r w:rsidRPr="001342FD">
              <w:rPr>
                <w:b/>
                <w:bCs/>
              </w:rPr>
              <w:t>af tre elementer:</w:t>
            </w:r>
          </w:p>
          <w:p w14:paraId="778B82E1" w14:textId="77777777" w:rsidR="00701857" w:rsidRPr="00E864F0" w:rsidRDefault="00701857" w:rsidP="001E42DE">
            <w:pPr>
              <w:pStyle w:val="O2-indhold"/>
              <w:jc w:val="left"/>
            </w:pPr>
            <w:r w:rsidRPr="00E864F0">
              <w:t xml:space="preserve">Borger og eventuelt dennes støtteperson bestiller tid ved egen læge til et sundhedstjek. Ved tidsbestillingen vil lægen/almen praksis informere om, hvor og hvornår der skal tages </w:t>
            </w:r>
            <w:r w:rsidR="005A32E0">
              <w:t>blodprøve inden sundhedstjekket</w:t>
            </w:r>
          </w:p>
          <w:p w14:paraId="3E28F503" w14:textId="5155D556" w:rsidR="00701857" w:rsidRPr="00E864F0" w:rsidRDefault="00701857" w:rsidP="001E42DE">
            <w:pPr>
              <w:pStyle w:val="O2-indhold"/>
              <w:jc w:val="left"/>
            </w:pPr>
            <w:r w:rsidRPr="00E864F0">
              <w:t>Borgerens for</w:t>
            </w:r>
            <w:r w:rsidR="00E864F0" w:rsidRPr="00E864F0">
              <w:t>beredelse til sundhedstjekket (</w:t>
            </w:r>
            <w:r w:rsidR="007B5FBF">
              <w:t>evt.</w:t>
            </w:r>
            <w:r w:rsidRPr="00E864F0">
              <w:t xml:space="preserve"> </w:t>
            </w:r>
            <w:r w:rsidR="00D36605">
              <w:t xml:space="preserve">i </w:t>
            </w:r>
            <w:r w:rsidRPr="00E864F0">
              <w:t xml:space="preserve">samarbejde med </w:t>
            </w:r>
            <w:r w:rsidR="007B5FBF">
              <w:t>støttepersonen</w:t>
            </w:r>
            <w:r w:rsidR="00E864F0" w:rsidRPr="00E864F0">
              <w:t xml:space="preserve">) </w:t>
            </w:r>
            <w:r w:rsidRPr="00E864F0">
              <w:t>og selve sun</w:t>
            </w:r>
            <w:r w:rsidR="005A32E0">
              <w:t>dhedstjekket foretages af lægen</w:t>
            </w:r>
          </w:p>
          <w:p w14:paraId="3FAF659D" w14:textId="0F363A92" w:rsidR="00E864F0" w:rsidRPr="00701857" w:rsidRDefault="00701857" w:rsidP="001E42DE">
            <w:pPr>
              <w:pStyle w:val="O2-indhold"/>
              <w:spacing w:after="240"/>
              <w:jc w:val="left"/>
            </w:pPr>
            <w:r w:rsidRPr="00E864F0">
              <w:t>Udarbejdelse af en aftale/pl</w:t>
            </w:r>
            <w:r w:rsidR="005A32E0">
              <w:t>an om fremtidig sundhedsindsats</w:t>
            </w:r>
          </w:p>
        </w:tc>
      </w:tr>
      <w:tr w:rsidR="0014601B" w14:paraId="1879E4EE" w14:textId="77777777" w:rsidTr="008113E2">
        <w:trPr>
          <w:trHeight w:val="1246"/>
        </w:trPr>
        <w:tc>
          <w:tcPr>
            <w:tcW w:w="3363" w:type="dxa"/>
            <w:tcBorders>
              <w:top w:val="single" w:sz="6" w:space="0" w:color="000000"/>
              <w:left w:val="single" w:sz="6" w:space="0" w:color="000000"/>
              <w:bottom w:val="single" w:sz="6" w:space="0" w:color="000000"/>
              <w:right w:val="single" w:sz="6" w:space="0" w:color="000000"/>
            </w:tcBorders>
            <w:shd w:val="clear" w:color="auto" w:fill="EAF1DD"/>
            <w:hideMark/>
          </w:tcPr>
          <w:p w14:paraId="377C4995" w14:textId="77777777" w:rsidR="000A2518" w:rsidRPr="001E42DE" w:rsidRDefault="000A2518" w:rsidP="001E42DE">
            <w:pPr>
              <w:jc w:val="left"/>
              <w:rPr>
                <w:b/>
                <w:bCs/>
              </w:rPr>
            </w:pPr>
            <w:r w:rsidRPr="001E42DE">
              <w:rPr>
                <w:b/>
                <w:bCs/>
              </w:rPr>
              <w:lastRenderedPageBreak/>
              <w:t>Personalets</w:t>
            </w:r>
            <w:r w:rsidR="00701857" w:rsidRPr="001E42DE">
              <w:rPr>
                <w:b/>
                <w:bCs/>
              </w:rPr>
              <w:t xml:space="preserve"> </w:t>
            </w:r>
            <w:r w:rsidRPr="001E42DE">
              <w:rPr>
                <w:b/>
                <w:bCs/>
              </w:rPr>
              <w:t>opgaver i forbindelse med sundhedstjek af borgeren</w:t>
            </w:r>
          </w:p>
        </w:tc>
        <w:tc>
          <w:tcPr>
            <w:tcW w:w="7303" w:type="dxa"/>
            <w:tcBorders>
              <w:top w:val="single" w:sz="6" w:space="0" w:color="000000"/>
              <w:left w:val="single" w:sz="6" w:space="0" w:color="000000"/>
              <w:bottom w:val="single" w:sz="6" w:space="0" w:color="000000"/>
              <w:right w:val="single" w:sz="6" w:space="0" w:color="000000"/>
            </w:tcBorders>
          </w:tcPr>
          <w:p w14:paraId="76EE3F1C" w14:textId="06EAB00C" w:rsidR="000E77FC" w:rsidRPr="00E9635F" w:rsidRDefault="006737F8" w:rsidP="001E42DE">
            <w:pPr>
              <w:jc w:val="left"/>
            </w:pPr>
            <w:r w:rsidRPr="00E9635F">
              <w:t>Støttepersonen</w:t>
            </w:r>
            <w:r w:rsidR="000A2518" w:rsidRPr="00E9635F">
              <w:t xml:space="preserve"> skal altid have mundtlig accept fra borgeren (hvis der er muligt) inden henvendelse til læge/</w:t>
            </w:r>
            <w:r w:rsidR="000E77FC" w:rsidRPr="00E9635F">
              <w:t>samarbejdspartner.</w:t>
            </w:r>
          </w:p>
          <w:p w14:paraId="449812C7" w14:textId="74CA1092" w:rsidR="000A2518" w:rsidRPr="00E9635F" w:rsidRDefault="000A2518" w:rsidP="001E42DE">
            <w:pPr>
              <w:jc w:val="left"/>
            </w:pPr>
            <w:r w:rsidRPr="00E9635F">
              <w:t>Kan borgeren ikke give samtykke – se nedenfor.</w:t>
            </w:r>
          </w:p>
          <w:p w14:paraId="5CADF4D3" w14:textId="6F1573FF" w:rsidR="00D64F89" w:rsidRPr="00E9635F" w:rsidRDefault="000A2518" w:rsidP="001E42DE">
            <w:pPr>
              <w:pStyle w:val="O2-indhold"/>
              <w:jc w:val="left"/>
            </w:pPr>
            <w:r w:rsidRPr="00E9635F">
              <w:t>Såfremt der er indgået aftale om stedfortrædende samtykke med pårørende, følges disse aftaler, førend kontakt til læge. Se under borgeren</w:t>
            </w:r>
            <w:r w:rsidR="00D64F89" w:rsidRPr="00E9635F">
              <w:t>s dokumenter for disse aftaler</w:t>
            </w:r>
          </w:p>
          <w:p w14:paraId="5564D630" w14:textId="0227DD9A" w:rsidR="000A2518" w:rsidRPr="00E9635F" w:rsidRDefault="00701857" w:rsidP="001E42DE">
            <w:pPr>
              <w:spacing w:after="240"/>
              <w:jc w:val="left"/>
            </w:pPr>
            <w:r w:rsidRPr="00E9635F">
              <w:t>For at sundhedstjekket får størst mulig effekt, er det vigtigt at komme hele vejen omkring b</w:t>
            </w:r>
            <w:r w:rsidR="00E864F0" w:rsidRPr="00E9635F">
              <w:t>orge</w:t>
            </w:r>
            <w:r w:rsidRPr="00E9635F">
              <w:t xml:space="preserve">rens </w:t>
            </w:r>
            <w:r w:rsidR="00E864F0" w:rsidRPr="00E9635F">
              <w:t xml:space="preserve">sundhedstilstand, så </w:t>
            </w:r>
            <w:r w:rsidR="00BA6BE9" w:rsidRPr="00E9635F">
              <w:t>uopdagede</w:t>
            </w:r>
            <w:r w:rsidRPr="00E9635F">
              <w:t xml:space="preserve"> sygdomme bliver fundet</w:t>
            </w:r>
            <w:r w:rsidR="00CA2373">
              <w:t>,</w:t>
            </w:r>
            <w:r w:rsidRPr="00E9635F">
              <w:t xml:space="preserve"> så forebyggelse og behandling kan starte så tidligt som muligt. Det kræver forberedelse og kommunikation mellem alle parter – borger, på</w:t>
            </w:r>
            <w:r w:rsidR="007B5FBF" w:rsidRPr="00E9635F">
              <w:t>rørende/støttepersoner, bostedet</w:t>
            </w:r>
            <w:r w:rsidRPr="00E9635F">
              <w:t>s</w:t>
            </w:r>
            <w:r w:rsidR="006737F8" w:rsidRPr="00E9635F">
              <w:t xml:space="preserve"> </w:t>
            </w:r>
            <w:r w:rsidRPr="00E9635F">
              <w:t>personale og den praktiserende læge.</w:t>
            </w:r>
          </w:p>
        </w:tc>
      </w:tr>
      <w:tr w:rsidR="006E6E8E" w14:paraId="0056A2F0" w14:textId="77777777" w:rsidTr="008113E2">
        <w:trPr>
          <w:trHeight w:val="1246"/>
        </w:trPr>
        <w:tc>
          <w:tcPr>
            <w:tcW w:w="3363" w:type="dxa"/>
            <w:tcBorders>
              <w:top w:val="single" w:sz="6" w:space="0" w:color="000000"/>
              <w:left w:val="single" w:sz="6" w:space="0" w:color="000000"/>
              <w:bottom w:val="single" w:sz="6" w:space="0" w:color="000000"/>
              <w:right w:val="single" w:sz="6" w:space="0" w:color="000000"/>
            </w:tcBorders>
            <w:shd w:val="clear" w:color="auto" w:fill="EAF1DD"/>
          </w:tcPr>
          <w:p w14:paraId="0A905BB7" w14:textId="210D8633" w:rsidR="000D5CF7" w:rsidRPr="00D42AAF" w:rsidRDefault="006E6E8E" w:rsidP="00C40E95">
            <w:pPr>
              <w:spacing w:after="0"/>
              <w:jc w:val="left"/>
              <w:rPr>
                <w:b/>
                <w:bCs/>
              </w:rPr>
            </w:pPr>
            <w:r w:rsidRPr="00D42AAF">
              <w:rPr>
                <w:b/>
                <w:bCs/>
              </w:rPr>
              <w:t>Dokumentation</w:t>
            </w:r>
            <w:r w:rsidR="00AC5C4D" w:rsidRPr="00D42AAF">
              <w:rPr>
                <w:b/>
                <w:bCs/>
              </w:rPr>
              <w:t xml:space="preserve"> af sundhedstjek</w:t>
            </w:r>
            <w:r w:rsidR="000D5CF7" w:rsidRPr="00D42AAF">
              <w:rPr>
                <w:b/>
                <w:bCs/>
              </w:rPr>
              <w:t xml:space="preserve"> for tilbud </w:t>
            </w:r>
          </w:p>
          <w:p w14:paraId="025FE9AD" w14:textId="33EC3F1D" w:rsidR="006E6E8E" w:rsidRPr="00D42AAF" w:rsidRDefault="000D5CF7" w:rsidP="001E42DE">
            <w:pPr>
              <w:jc w:val="left"/>
              <w:rPr>
                <w:b/>
                <w:bCs/>
              </w:rPr>
            </w:pPr>
            <w:r w:rsidRPr="00D42AAF">
              <w:rPr>
                <w:b/>
                <w:bCs/>
                <w:highlight w:val="yellow"/>
              </w:rPr>
              <w:t>MED</w:t>
            </w:r>
            <w:r w:rsidRPr="00D42AAF">
              <w:rPr>
                <w:b/>
                <w:bCs/>
              </w:rPr>
              <w:t xml:space="preserve"> adgang til </w:t>
            </w:r>
            <w:r w:rsidR="00C40E95" w:rsidRPr="00D42AAF">
              <w:rPr>
                <w:b/>
                <w:bCs/>
              </w:rPr>
              <w:t>S</w:t>
            </w:r>
            <w:r w:rsidRPr="00D42AAF">
              <w:rPr>
                <w:b/>
                <w:bCs/>
              </w:rPr>
              <w:t>undheds</w:t>
            </w:r>
            <w:r w:rsidR="00C40E95" w:rsidRPr="00D42AAF">
              <w:rPr>
                <w:b/>
                <w:bCs/>
              </w:rPr>
              <w:t>plan/Medicinmodulet</w:t>
            </w:r>
          </w:p>
          <w:p w14:paraId="39031E01" w14:textId="77777777" w:rsidR="00E965AB" w:rsidRPr="00D42AAF" w:rsidRDefault="00E965AB" w:rsidP="001E42DE">
            <w:pPr>
              <w:jc w:val="left"/>
              <w:rPr>
                <w:b/>
                <w:bCs/>
              </w:rPr>
            </w:pPr>
          </w:p>
          <w:p w14:paraId="5115572A" w14:textId="77777777" w:rsidR="00E965AB" w:rsidRPr="00D42AAF" w:rsidRDefault="00E965AB" w:rsidP="001E42DE">
            <w:pPr>
              <w:jc w:val="left"/>
              <w:rPr>
                <w:b/>
                <w:bCs/>
              </w:rPr>
            </w:pPr>
          </w:p>
          <w:p w14:paraId="1BC75909" w14:textId="77777777" w:rsidR="00E965AB" w:rsidRPr="00D42AAF" w:rsidRDefault="00E965AB" w:rsidP="001E42DE">
            <w:pPr>
              <w:jc w:val="left"/>
              <w:rPr>
                <w:b/>
                <w:bCs/>
              </w:rPr>
            </w:pPr>
          </w:p>
          <w:p w14:paraId="17502ABF" w14:textId="19D284A8" w:rsidR="00E965AB" w:rsidRPr="00D42AAF" w:rsidRDefault="00E965AB" w:rsidP="00E965AB">
            <w:pPr>
              <w:rPr>
                <w:b/>
                <w:bCs/>
              </w:rPr>
            </w:pPr>
            <w:r w:rsidRPr="00D42AAF">
              <w:t xml:space="preserve"> </w:t>
            </w:r>
          </w:p>
        </w:tc>
        <w:tc>
          <w:tcPr>
            <w:tcW w:w="7303" w:type="dxa"/>
            <w:tcBorders>
              <w:top w:val="single" w:sz="6" w:space="0" w:color="000000"/>
              <w:left w:val="single" w:sz="6" w:space="0" w:color="000000"/>
              <w:bottom w:val="single" w:sz="6" w:space="0" w:color="000000"/>
              <w:right w:val="single" w:sz="6" w:space="0" w:color="000000"/>
            </w:tcBorders>
          </w:tcPr>
          <w:p w14:paraId="2D052E97" w14:textId="77777777" w:rsidR="00D408A5" w:rsidRDefault="00D408A5" w:rsidP="00D408A5">
            <w:pPr>
              <w:pStyle w:val="O2-indhold"/>
              <w:numPr>
                <w:ilvl w:val="0"/>
                <w:numId w:val="0"/>
              </w:numPr>
              <w:jc w:val="left"/>
            </w:pPr>
            <w:r>
              <w:t xml:space="preserve">Borgerens sundhedstjek skal </w:t>
            </w:r>
            <w:r w:rsidRPr="000118EB">
              <w:rPr>
                <w:i/>
                <w:iCs/>
              </w:rPr>
              <w:t>altid</w:t>
            </w:r>
            <w:r>
              <w:t xml:space="preserve"> registreres – også selvom at sundhedstjekket forløber uden tilbuddets involvering. Det kan fx være lægen eller borgeren selv, der har stået for sundhedstjekkets gennemførelse.</w:t>
            </w:r>
          </w:p>
          <w:p w14:paraId="63E25DEF" w14:textId="7B14E10C" w:rsidR="00D408A5" w:rsidRPr="00D408A5" w:rsidRDefault="00D408A5" w:rsidP="00C40E95">
            <w:pPr>
              <w:pStyle w:val="O2-indhold"/>
              <w:numPr>
                <w:ilvl w:val="0"/>
                <w:numId w:val="0"/>
              </w:numPr>
              <w:jc w:val="left"/>
              <w:rPr>
                <w:u w:val="single"/>
              </w:rPr>
            </w:pPr>
            <w:r>
              <w:rPr>
                <w:u w:val="single"/>
              </w:rPr>
              <w:t>Registrering af sundhedstjek</w:t>
            </w:r>
            <w:r w:rsidRPr="00D472D2">
              <w:rPr>
                <w:u w:val="single"/>
              </w:rPr>
              <w:t>:</w:t>
            </w:r>
          </w:p>
          <w:p w14:paraId="3ADF2244" w14:textId="55D83E7E" w:rsidR="00C40E95" w:rsidRPr="00D408A5" w:rsidRDefault="00C40E95" w:rsidP="00C40E95">
            <w:pPr>
              <w:pStyle w:val="O2-indhold"/>
              <w:numPr>
                <w:ilvl w:val="0"/>
                <w:numId w:val="0"/>
              </w:numPr>
              <w:jc w:val="left"/>
            </w:pPr>
            <w:r w:rsidRPr="00D408A5">
              <w:t xml:space="preserve">Under fanen </w:t>
            </w:r>
            <w:r w:rsidRPr="00D408A5">
              <w:rPr>
                <w:i/>
                <w:iCs/>
              </w:rPr>
              <w:t>Medicin</w:t>
            </w:r>
            <w:r w:rsidRPr="00D408A5">
              <w:t xml:space="preserve"> dokumenteres tilbud om sundhedstjek, selve sundhedstjekket og samtykke:</w:t>
            </w:r>
          </w:p>
          <w:p w14:paraId="1D326345" w14:textId="77777777" w:rsidR="00C40E95" w:rsidRPr="00D408A5" w:rsidRDefault="00C40E95" w:rsidP="00C40E95">
            <w:pPr>
              <w:pStyle w:val="O2-indhold"/>
              <w:numPr>
                <w:ilvl w:val="0"/>
                <w:numId w:val="25"/>
              </w:numPr>
              <w:jc w:val="left"/>
            </w:pPr>
            <w:r w:rsidRPr="00D408A5">
              <w:t xml:space="preserve">Vælg </w:t>
            </w:r>
            <w:r w:rsidRPr="00D408A5">
              <w:rPr>
                <w:i/>
                <w:iCs/>
              </w:rPr>
              <w:t>”Årlig status”</w:t>
            </w:r>
            <w:r w:rsidRPr="00D408A5">
              <w:t xml:space="preserve"> og tyk på </w:t>
            </w:r>
            <w:r w:rsidRPr="00D408A5">
              <w:rPr>
                <w:i/>
                <w:iCs/>
              </w:rPr>
              <w:t>”+ Ny årlig status”</w:t>
            </w:r>
          </w:p>
          <w:p w14:paraId="10D907C4" w14:textId="2FB2A32F" w:rsidR="0098637A" w:rsidRPr="00D408A5" w:rsidRDefault="0098637A" w:rsidP="0098637A">
            <w:pPr>
              <w:pStyle w:val="O2-indhold"/>
              <w:numPr>
                <w:ilvl w:val="1"/>
                <w:numId w:val="25"/>
              </w:numPr>
              <w:jc w:val="left"/>
            </w:pPr>
            <w:r w:rsidRPr="00D408A5">
              <w:t>Udfyld følgende:</w:t>
            </w:r>
          </w:p>
          <w:p w14:paraId="564B23A8" w14:textId="6FAD69CF" w:rsidR="0098637A" w:rsidRPr="00D408A5" w:rsidRDefault="0098637A" w:rsidP="0098637A">
            <w:pPr>
              <w:pStyle w:val="O2-indhold"/>
              <w:numPr>
                <w:ilvl w:val="0"/>
                <w:numId w:val="0"/>
              </w:numPr>
              <w:ind w:left="720"/>
              <w:jc w:val="left"/>
            </w:pPr>
            <w:r w:rsidRPr="00D42AAF">
              <w:rPr>
                <w:noProof/>
              </w:rPr>
              <w:lastRenderedPageBreak/>
              <w:drawing>
                <wp:inline distT="0" distB="0" distL="0" distR="0" wp14:anchorId="6D630DC1" wp14:editId="74FCB906">
                  <wp:extent cx="3978322" cy="1504407"/>
                  <wp:effectExtent l="0" t="0" r="3175" b="635"/>
                  <wp:docPr id="4" name="Billed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a:extLst>
                              <a:ext uri="{C183D7F6-B498-43B3-948B-1728B52AA6E4}">
                                <adec:decorative xmlns:adec="http://schemas.microsoft.com/office/drawing/2017/decorative" val="1"/>
                              </a:ext>
                            </a:extLst>
                          </pic:cNvPr>
                          <pic:cNvPicPr/>
                        </pic:nvPicPr>
                        <pic:blipFill>
                          <a:blip r:embed="rId9"/>
                          <a:stretch>
                            <a:fillRect/>
                          </a:stretch>
                        </pic:blipFill>
                        <pic:spPr>
                          <a:xfrm>
                            <a:off x="0" y="0"/>
                            <a:ext cx="4027234" cy="1522903"/>
                          </a:xfrm>
                          <a:prstGeom prst="rect">
                            <a:avLst/>
                          </a:prstGeom>
                        </pic:spPr>
                      </pic:pic>
                    </a:graphicData>
                  </a:graphic>
                </wp:inline>
              </w:drawing>
            </w:r>
          </w:p>
          <w:p w14:paraId="31171C5E" w14:textId="32A4FB46" w:rsidR="00C40E95" w:rsidRPr="00D408A5" w:rsidRDefault="0098637A" w:rsidP="00C40E95">
            <w:pPr>
              <w:pStyle w:val="O2-indhold"/>
              <w:numPr>
                <w:ilvl w:val="0"/>
                <w:numId w:val="0"/>
              </w:numPr>
              <w:ind w:left="1440"/>
              <w:jc w:val="left"/>
            </w:pPr>
            <w:r w:rsidRPr="00D408A5">
              <w:t xml:space="preserve">OBS - </w:t>
            </w:r>
            <w:r w:rsidR="00C40E95" w:rsidRPr="00D408A5">
              <w:t>Hvis borgeren takker nej til sundhedstjekket, skal dette også dokumenteres</w:t>
            </w:r>
            <w:r w:rsidRPr="00D408A5">
              <w:t xml:space="preserve"> i bemærkningsfeltet</w:t>
            </w:r>
            <w:r w:rsidR="00C40E95" w:rsidRPr="00D408A5">
              <w:t>.</w:t>
            </w:r>
          </w:p>
          <w:p w14:paraId="2696C029" w14:textId="5DCE0387" w:rsidR="0098637A" w:rsidRPr="00D408A5" w:rsidRDefault="00C40E95" w:rsidP="0098637A">
            <w:pPr>
              <w:pStyle w:val="O2-indhold"/>
              <w:numPr>
                <w:ilvl w:val="1"/>
                <w:numId w:val="25"/>
              </w:numPr>
              <w:spacing w:after="0"/>
              <w:jc w:val="left"/>
            </w:pPr>
            <w:r w:rsidRPr="00D408A5">
              <w:t>De 12 sundhedsfaglige problemområder opdateres i henhold til anvisninger fra lægen.</w:t>
            </w:r>
          </w:p>
        </w:tc>
      </w:tr>
      <w:tr w:rsidR="008113E2" w14:paraId="367926AE" w14:textId="77777777" w:rsidTr="008113E2">
        <w:trPr>
          <w:trHeight w:val="1246"/>
        </w:trPr>
        <w:tc>
          <w:tcPr>
            <w:tcW w:w="3363" w:type="dxa"/>
            <w:tcBorders>
              <w:top w:val="single" w:sz="6" w:space="0" w:color="000000"/>
              <w:left w:val="single" w:sz="6" w:space="0" w:color="000000"/>
              <w:bottom w:val="single" w:sz="6" w:space="0" w:color="000000"/>
              <w:right w:val="single" w:sz="6" w:space="0" w:color="000000"/>
            </w:tcBorders>
            <w:shd w:val="clear" w:color="auto" w:fill="EAF1DD"/>
          </w:tcPr>
          <w:p w14:paraId="337D40CD" w14:textId="7273C8BC" w:rsidR="008113E2" w:rsidRDefault="008113E2" w:rsidP="008113E2">
            <w:pPr>
              <w:spacing w:after="0"/>
              <w:jc w:val="left"/>
              <w:rPr>
                <w:b/>
                <w:bCs/>
              </w:rPr>
            </w:pPr>
            <w:r w:rsidRPr="001E42DE">
              <w:rPr>
                <w:b/>
                <w:bCs/>
              </w:rPr>
              <w:lastRenderedPageBreak/>
              <w:t xml:space="preserve">Dokumentation af </w:t>
            </w:r>
            <w:r>
              <w:rPr>
                <w:b/>
                <w:bCs/>
              </w:rPr>
              <w:t xml:space="preserve">tilbud om </w:t>
            </w:r>
            <w:r w:rsidRPr="001E42DE">
              <w:rPr>
                <w:b/>
                <w:bCs/>
              </w:rPr>
              <w:t>sundhedstjek</w:t>
            </w:r>
            <w:r>
              <w:rPr>
                <w:b/>
                <w:bCs/>
              </w:rPr>
              <w:t xml:space="preserve"> samt gennemført sundhedstjek for tilbud </w:t>
            </w:r>
          </w:p>
          <w:p w14:paraId="37F4A8F4" w14:textId="19E59653" w:rsidR="008113E2" w:rsidRPr="001E42DE" w:rsidRDefault="008113E2" w:rsidP="008113E2">
            <w:pPr>
              <w:jc w:val="left"/>
              <w:rPr>
                <w:b/>
                <w:bCs/>
              </w:rPr>
            </w:pPr>
            <w:r w:rsidRPr="00CA2373">
              <w:rPr>
                <w:b/>
                <w:bCs/>
                <w:highlight w:val="yellow"/>
              </w:rPr>
              <w:t>UDEN</w:t>
            </w:r>
            <w:r w:rsidRPr="000D5CF7">
              <w:rPr>
                <w:b/>
                <w:bCs/>
              </w:rPr>
              <w:t xml:space="preserve"> adgang til</w:t>
            </w:r>
            <w:r>
              <w:rPr>
                <w:b/>
                <w:bCs/>
              </w:rPr>
              <w:t xml:space="preserve"> Sundhedsplan/</w:t>
            </w:r>
            <w:r w:rsidRPr="00FE4FE5">
              <w:rPr>
                <w:b/>
                <w:bCs/>
              </w:rPr>
              <w:t>Medicinmodulet</w:t>
            </w:r>
          </w:p>
        </w:tc>
        <w:tc>
          <w:tcPr>
            <w:tcW w:w="7303" w:type="dxa"/>
            <w:tcBorders>
              <w:top w:val="single" w:sz="6" w:space="0" w:color="000000"/>
              <w:left w:val="single" w:sz="6" w:space="0" w:color="000000"/>
              <w:bottom w:val="single" w:sz="6" w:space="0" w:color="000000"/>
              <w:right w:val="single" w:sz="6" w:space="0" w:color="000000"/>
            </w:tcBorders>
          </w:tcPr>
          <w:p w14:paraId="12870EDB" w14:textId="77777777" w:rsidR="00D408A5" w:rsidRDefault="00D408A5" w:rsidP="00D408A5">
            <w:pPr>
              <w:pStyle w:val="O2-indhold"/>
              <w:numPr>
                <w:ilvl w:val="0"/>
                <w:numId w:val="0"/>
              </w:numPr>
              <w:jc w:val="left"/>
            </w:pPr>
            <w:r>
              <w:t xml:space="preserve">Borgerens sundhedstjek skal </w:t>
            </w:r>
            <w:r w:rsidRPr="000118EB">
              <w:rPr>
                <w:i/>
                <w:iCs/>
              </w:rPr>
              <w:t>altid</w:t>
            </w:r>
            <w:r>
              <w:t xml:space="preserve"> registreres – også selvom at sundhedstjekket forløber uden tilbuddets involvering. Det kan fx være lægen eller borgeren selv, der har stået for sundhedstjekkets gennemførelse.</w:t>
            </w:r>
          </w:p>
          <w:p w14:paraId="372520D6" w14:textId="5FE0AF9C" w:rsidR="00D408A5" w:rsidRDefault="00D408A5" w:rsidP="008113E2">
            <w:pPr>
              <w:pStyle w:val="O2-indhold"/>
              <w:numPr>
                <w:ilvl w:val="0"/>
                <w:numId w:val="0"/>
              </w:numPr>
              <w:jc w:val="left"/>
            </w:pPr>
            <w:r>
              <w:rPr>
                <w:u w:val="single"/>
              </w:rPr>
              <w:t>Registrering af sundhedstjek:</w:t>
            </w:r>
          </w:p>
          <w:p w14:paraId="7020F8FF" w14:textId="3A6105B7" w:rsidR="008113E2" w:rsidRPr="00B356F1" w:rsidRDefault="008113E2" w:rsidP="008113E2">
            <w:pPr>
              <w:pStyle w:val="O2-indhold"/>
              <w:numPr>
                <w:ilvl w:val="0"/>
                <w:numId w:val="0"/>
              </w:numPr>
              <w:jc w:val="left"/>
            </w:pPr>
            <w:r w:rsidRPr="00B356F1">
              <w:t>Under fanen</w:t>
            </w:r>
            <w:r w:rsidRPr="00B356F1">
              <w:rPr>
                <w:i/>
                <w:iCs/>
              </w:rPr>
              <w:t xml:space="preserve"> ”Ydelser”</w:t>
            </w:r>
            <w:r w:rsidRPr="00B356F1">
              <w:t xml:space="preserve"> i venstre side af skærmbilledet dokumenteres om borgeren har fået tilbud om sundhedstjek, herunder støtte til at gennemføre det, og/eller om borgeren har fået foretaget et sundhedstjek ved praktiserende læge.</w:t>
            </w:r>
          </w:p>
          <w:p w14:paraId="3BFD4B65" w14:textId="1B12BFB1" w:rsidR="008113E2" w:rsidRPr="00B356F1" w:rsidRDefault="008113E2" w:rsidP="008113E2">
            <w:pPr>
              <w:pStyle w:val="O2-indhold"/>
              <w:numPr>
                <w:ilvl w:val="0"/>
                <w:numId w:val="25"/>
              </w:numPr>
              <w:jc w:val="left"/>
            </w:pPr>
            <w:r w:rsidRPr="00B356F1">
              <w:t xml:space="preserve">Vælg </w:t>
            </w:r>
            <w:r w:rsidRPr="00B356F1">
              <w:rPr>
                <w:i/>
                <w:iCs/>
              </w:rPr>
              <w:t>”</w:t>
            </w:r>
            <w:r w:rsidR="00CC3507">
              <w:rPr>
                <w:i/>
                <w:iCs/>
              </w:rPr>
              <w:t xml:space="preserve"> </w:t>
            </w:r>
            <w:r w:rsidRPr="00B356F1">
              <w:rPr>
                <w:i/>
                <w:iCs/>
              </w:rPr>
              <w:t>+Tildel ydelse”</w:t>
            </w:r>
          </w:p>
          <w:p w14:paraId="7F4225CC" w14:textId="77777777" w:rsidR="008113E2" w:rsidRPr="00B356F1" w:rsidRDefault="008113E2" w:rsidP="008113E2">
            <w:pPr>
              <w:pStyle w:val="O2-indhold"/>
              <w:numPr>
                <w:ilvl w:val="1"/>
                <w:numId w:val="25"/>
              </w:numPr>
              <w:spacing w:line="256" w:lineRule="auto"/>
              <w:jc w:val="left"/>
              <w:rPr>
                <w:lang w:eastAsia="en-US"/>
              </w:rPr>
            </w:pPr>
            <w:r w:rsidRPr="00B356F1">
              <w:rPr>
                <w:lang w:eastAsia="en-US"/>
              </w:rPr>
              <w:t>Vælg ydelsen 1) ”</w:t>
            </w:r>
            <w:r w:rsidRPr="00B356F1">
              <w:rPr>
                <w:i/>
                <w:iCs/>
                <w:lang w:eastAsia="en-US"/>
              </w:rPr>
              <w:t>Tilbudt støtte til bestilling af, forberedelse og ledsagelse til sundhedstjek ved praktiserende læge</w:t>
            </w:r>
            <w:r w:rsidRPr="00B356F1">
              <w:rPr>
                <w:lang w:eastAsia="en-US"/>
              </w:rPr>
              <w:t>”  eller 2) ”Sundhedstjek”, når borgeren har fået foretaget et sundhedstjek ved praktiserende læge. Udfyld dernæst de resterende felter.</w:t>
            </w:r>
          </w:p>
          <w:p w14:paraId="27B10796" w14:textId="77777777" w:rsidR="008113E2" w:rsidRPr="00B356F1" w:rsidRDefault="008113E2" w:rsidP="008113E2">
            <w:pPr>
              <w:pStyle w:val="O2-indhold"/>
              <w:numPr>
                <w:ilvl w:val="1"/>
                <w:numId w:val="25"/>
              </w:numPr>
              <w:spacing w:line="256" w:lineRule="auto"/>
              <w:jc w:val="left"/>
              <w:rPr>
                <w:lang w:eastAsia="en-US"/>
              </w:rPr>
            </w:pPr>
            <w:r w:rsidRPr="00B356F1">
              <w:rPr>
                <w:lang w:eastAsia="en-US"/>
              </w:rPr>
              <w:t>Evt. kommentar/tilbagemeldinger noteres i kommentarfeltet</w:t>
            </w:r>
          </w:p>
          <w:p w14:paraId="4D7CBE5D" w14:textId="77777777" w:rsidR="008113E2" w:rsidRPr="00B356F1" w:rsidRDefault="008113E2" w:rsidP="008113E2">
            <w:pPr>
              <w:pStyle w:val="O2-indhold"/>
              <w:numPr>
                <w:ilvl w:val="0"/>
                <w:numId w:val="22"/>
              </w:numPr>
              <w:spacing w:line="256" w:lineRule="auto"/>
              <w:jc w:val="left"/>
              <w:rPr>
                <w:lang w:eastAsia="en-US"/>
              </w:rPr>
            </w:pPr>
            <w:r w:rsidRPr="00B356F1">
              <w:rPr>
                <w:lang w:eastAsia="en-US"/>
              </w:rPr>
              <w:t>Opret ydelsen med startdato d.d. og slutdato den efterfølgende dag.</w:t>
            </w:r>
          </w:p>
          <w:p w14:paraId="459FCA74" w14:textId="05B61519" w:rsidR="008113E2" w:rsidRPr="00B356F1" w:rsidRDefault="008113E2" w:rsidP="008113E2">
            <w:pPr>
              <w:pStyle w:val="O2-indhold"/>
              <w:numPr>
                <w:ilvl w:val="0"/>
                <w:numId w:val="22"/>
              </w:numPr>
              <w:spacing w:line="256" w:lineRule="auto"/>
              <w:jc w:val="left"/>
              <w:rPr>
                <w:lang w:eastAsia="en-US"/>
              </w:rPr>
            </w:pPr>
            <w:r w:rsidRPr="00B356F1">
              <w:rPr>
                <w:lang w:eastAsia="en-US"/>
              </w:rPr>
              <w:t>Afslutningsårsag</w:t>
            </w:r>
            <w:r w:rsidR="00D228A3">
              <w:rPr>
                <w:lang w:eastAsia="en-US"/>
              </w:rPr>
              <w:t>:</w:t>
            </w:r>
            <w:r w:rsidRPr="00B356F1">
              <w:rPr>
                <w:lang w:eastAsia="en-US"/>
              </w:rPr>
              <w:t xml:space="preserve"> </w:t>
            </w:r>
            <w:r w:rsidRPr="00B356F1">
              <w:rPr>
                <w:i/>
                <w:iCs/>
                <w:lang w:eastAsia="en-US"/>
              </w:rPr>
              <w:t>”forløb gennemført”</w:t>
            </w:r>
            <w:r w:rsidR="00D228A3">
              <w:rPr>
                <w:i/>
                <w:iCs/>
                <w:lang w:eastAsia="en-US"/>
              </w:rPr>
              <w:t xml:space="preserve">. </w:t>
            </w:r>
            <w:r w:rsidR="00D228A3" w:rsidRPr="00D228A3">
              <w:rPr>
                <w:lang w:eastAsia="en-US"/>
              </w:rPr>
              <w:t>Dette</w:t>
            </w:r>
            <w:r w:rsidRPr="00D228A3">
              <w:rPr>
                <w:lang w:eastAsia="en-US"/>
              </w:rPr>
              <w:t xml:space="preserve"> vælges uanset om det er tilbud om sundhedstjek til borgeren, der dokumenteres, eller at borgeren har fået foretaget et sundhedstjek ved praktiserende læge.</w:t>
            </w:r>
          </w:p>
          <w:p w14:paraId="40026212" w14:textId="1E26A7B9" w:rsidR="008113E2" w:rsidRPr="00FB6F5D" w:rsidRDefault="008113E2" w:rsidP="008113E2">
            <w:pPr>
              <w:pStyle w:val="O2-indhold"/>
              <w:numPr>
                <w:ilvl w:val="0"/>
                <w:numId w:val="0"/>
              </w:numPr>
              <w:jc w:val="left"/>
              <w:rPr>
                <w:i/>
                <w:iCs/>
              </w:rPr>
            </w:pPr>
            <w:r w:rsidRPr="00B356F1">
              <w:rPr>
                <w:noProof/>
                <w:lang w:eastAsia="en-US"/>
              </w:rPr>
              <w:lastRenderedPageBreak/>
              <w:drawing>
                <wp:anchor distT="0" distB="0" distL="114300" distR="114300" simplePos="0" relativeHeight="251659264" behindDoc="0" locked="0" layoutInCell="1" allowOverlap="1" wp14:anchorId="4BFD270B" wp14:editId="1E5309DA">
                  <wp:simplePos x="0" y="0"/>
                  <wp:positionH relativeFrom="column">
                    <wp:posOffset>367030</wp:posOffset>
                  </wp:positionH>
                  <wp:positionV relativeFrom="paragraph">
                    <wp:posOffset>128270</wp:posOffset>
                  </wp:positionV>
                  <wp:extent cx="3803650" cy="1579880"/>
                  <wp:effectExtent l="0" t="0" r="6350" b="1270"/>
                  <wp:wrapTopAndBottom/>
                  <wp:docPr id="3"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03650" cy="1579880"/>
                          </a:xfrm>
                          <a:prstGeom prst="rect">
                            <a:avLst/>
                          </a:prstGeom>
                          <a:noFill/>
                        </pic:spPr>
                      </pic:pic>
                    </a:graphicData>
                  </a:graphic>
                  <wp14:sizeRelH relativeFrom="margin">
                    <wp14:pctWidth>0</wp14:pctWidth>
                  </wp14:sizeRelH>
                  <wp14:sizeRelV relativeFrom="page">
                    <wp14:pctHeight>0</wp14:pctHeight>
                  </wp14:sizeRelV>
                </wp:anchor>
              </w:drawing>
            </w:r>
          </w:p>
        </w:tc>
      </w:tr>
      <w:tr w:rsidR="008113E2" w14:paraId="0358B45C" w14:textId="77777777" w:rsidTr="008113E2">
        <w:trPr>
          <w:trHeight w:val="829"/>
        </w:trPr>
        <w:tc>
          <w:tcPr>
            <w:tcW w:w="3363" w:type="dxa"/>
            <w:tcBorders>
              <w:top w:val="single" w:sz="6" w:space="0" w:color="000000"/>
              <w:left w:val="single" w:sz="6" w:space="0" w:color="000000"/>
              <w:bottom w:val="single" w:sz="6" w:space="0" w:color="000000"/>
              <w:right w:val="single" w:sz="6" w:space="0" w:color="000000"/>
            </w:tcBorders>
            <w:shd w:val="clear" w:color="auto" w:fill="EAF1DD"/>
            <w:hideMark/>
          </w:tcPr>
          <w:p w14:paraId="16B593F4" w14:textId="77777777" w:rsidR="008113E2" w:rsidRPr="001E42DE" w:rsidRDefault="008113E2" w:rsidP="008113E2">
            <w:pPr>
              <w:jc w:val="left"/>
              <w:rPr>
                <w:b/>
                <w:bCs/>
              </w:rPr>
            </w:pPr>
            <w:r w:rsidRPr="001E42DE">
              <w:rPr>
                <w:b/>
                <w:bCs/>
              </w:rPr>
              <w:lastRenderedPageBreak/>
              <w:t>De tre faser i sundhedstjek</w:t>
            </w:r>
          </w:p>
          <w:p w14:paraId="4EF9A50C" w14:textId="77777777" w:rsidR="008113E2" w:rsidRPr="001E42DE" w:rsidRDefault="008113E2" w:rsidP="008113E2">
            <w:pPr>
              <w:jc w:val="left"/>
              <w:rPr>
                <w:b/>
                <w:bCs/>
              </w:rPr>
            </w:pPr>
          </w:p>
        </w:tc>
        <w:tc>
          <w:tcPr>
            <w:tcW w:w="7303" w:type="dxa"/>
            <w:tcBorders>
              <w:top w:val="single" w:sz="6" w:space="0" w:color="000000"/>
              <w:left w:val="single" w:sz="6" w:space="0" w:color="000000"/>
              <w:bottom w:val="single" w:sz="6" w:space="0" w:color="000000"/>
              <w:right w:val="single" w:sz="6" w:space="0" w:color="000000"/>
            </w:tcBorders>
          </w:tcPr>
          <w:p w14:paraId="5A3DA869" w14:textId="77777777" w:rsidR="008113E2" w:rsidRPr="001342FD" w:rsidRDefault="008113E2" w:rsidP="008113E2">
            <w:pPr>
              <w:jc w:val="left"/>
              <w:rPr>
                <w:b/>
                <w:bCs/>
              </w:rPr>
            </w:pPr>
            <w:r w:rsidRPr="001342FD">
              <w:rPr>
                <w:b/>
                <w:bCs/>
              </w:rPr>
              <w:t>Første fase – forberedelsesfasen</w:t>
            </w:r>
          </w:p>
          <w:p w14:paraId="0A72BB82" w14:textId="77777777" w:rsidR="008113E2" w:rsidRPr="003E6515" w:rsidRDefault="008113E2" w:rsidP="008113E2">
            <w:pPr>
              <w:jc w:val="left"/>
            </w:pPr>
            <w:r w:rsidRPr="003E6515">
              <w:t>Forberedelsesfasen består af en tidsbestilling hos egen læge, en blodprøve, der tages inden tjekket hos lægen, og et forberedelsesspørgeskema, som den enkelte borger kan besvare alene eller sammen med en medarbejder. På baggrund af skemaet kan lægen vurdere, hvorvidt svarene giver anledning til yderligere undersøgelser.</w:t>
            </w:r>
          </w:p>
          <w:p w14:paraId="6E902B43" w14:textId="292E721F" w:rsidR="008113E2" w:rsidRDefault="008113E2" w:rsidP="008113E2">
            <w:pPr>
              <w:spacing w:after="240"/>
              <w:jc w:val="left"/>
            </w:pPr>
            <w:r w:rsidRPr="003E6515">
              <w:t>Relevansen af undersøgelserne afhænger af aktuelle problemstillinger og kendskab til borgeren.</w:t>
            </w:r>
          </w:p>
          <w:p w14:paraId="2BD89CA8" w14:textId="77777777" w:rsidR="008113E2" w:rsidRPr="001342FD" w:rsidRDefault="008113E2" w:rsidP="008113E2">
            <w:pPr>
              <w:jc w:val="left"/>
              <w:rPr>
                <w:b/>
                <w:bCs/>
              </w:rPr>
            </w:pPr>
            <w:r w:rsidRPr="001342FD">
              <w:rPr>
                <w:b/>
                <w:bCs/>
              </w:rPr>
              <w:t>Anden fase – besøg hos praktiserende læge</w:t>
            </w:r>
          </w:p>
          <w:p w14:paraId="568604B0" w14:textId="57C3AB1B" w:rsidR="008113E2" w:rsidRPr="003E6515" w:rsidRDefault="008113E2" w:rsidP="008113E2">
            <w:pPr>
              <w:jc w:val="left"/>
            </w:pPr>
            <w:r w:rsidRPr="003E6515">
              <w:t>Besøget hos praktiserende læge udgør anden fase af sundhedstjekket og vil tage afsæt i forberedelsesskemaet og blodprøveresultaterne. Derudover vil lægen gennemgå medicinlisten samt udføre en helbredsundersøgelse bestående af bl.a. blodtryksmåling, EKG, lungefunktionsmåling, vægtregistrering og tandstatus. Helbredsundersøgelserne kan munde ud i et behov for yderligere undersøgelser.</w:t>
            </w:r>
          </w:p>
          <w:p w14:paraId="268942EA" w14:textId="6FA25483" w:rsidR="008113E2" w:rsidRDefault="008113E2" w:rsidP="008113E2">
            <w:pPr>
              <w:jc w:val="left"/>
            </w:pPr>
            <w:r w:rsidRPr="003E6515">
              <w:t>Det er vigtigt</w:t>
            </w:r>
            <w:r>
              <w:t>,</w:t>
            </w:r>
            <w:r w:rsidRPr="003E6515">
              <w:t xml:space="preserve"> at støttepersonen der deltage</w:t>
            </w:r>
            <w:r>
              <w:t>r</w:t>
            </w:r>
            <w:r w:rsidRPr="003E6515">
              <w:t xml:space="preserve"> i besøget hos lægen, har kendskab til den enkeltes liv, adfærd og livshistorie, så der kan bidrage til at besvare lægens spørgsmål og følge op på samtalens indhold derhjemme.</w:t>
            </w:r>
          </w:p>
          <w:p w14:paraId="54F08868" w14:textId="77777777" w:rsidR="008113E2" w:rsidRPr="003E6515" w:rsidRDefault="008113E2" w:rsidP="008113E2">
            <w:pPr>
              <w:jc w:val="left"/>
            </w:pPr>
          </w:p>
          <w:p w14:paraId="7AD8E225" w14:textId="77777777" w:rsidR="008113E2" w:rsidRPr="001342FD" w:rsidRDefault="008113E2" w:rsidP="008113E2">
            <w:pPr>
              <w:jc w:val="left"/>
              <w:rPr>
                <w:b/>
                <w:bCs/>
              </w:rPr>
            </w:pPr>
            <w:r w:rsidRPr="001342FD">
              <w:rPr>
                <w:b/>
                <w:bCs/>
              </w:rPr>
              <w:t>Tredje og sidste fase – igangsættelse af det videre forløb</w:t>
            </w:r>
          </w:p>
          <w:p w14:paraId="6D68AF28" w14:textId="77777777" w:rsidR="008113E2" w:rsidRPr="003E6515" w:rsidRDefault="008113E2" w:rsidP="008113E2">
            <w:pPr>
              <w:jc w:val="left"/>
            </w:pPr>
            <w:r w:rsidRPr="003E6515">
              <w:t>Sidste fase udgør en evt. henvisning til yderligere undersøgelser, iværksættelse af ny eller anden behandling og opfølgning i borgers hjem.</w:t>
            </w:r>
          </w:p>
          <w:p w14:paraId="64148C56" w14:textId="75C8E36C" w:rsidR="008113E2" w:rsidRPr="003E6515" w:rsidRDefault="008113E2" w:rsidP="008113E2">
            <w:pPr>
              <w:spacing w:after="240"/>
              <w:jc w:val="left"/>
            </w:pPr>
            <w:r w:rsidRPr="003E6515">
              <w:t xml:space="preserve">Lægen udarbejder en plan for indsatsen sammen med borger og støttepersonen, så de er rustet til at støtte borger fremadrettet. Planen kan omfatte en forebyggende indsats, en eller flere konkrete behandlingsindsatser eller henvisning. Planen lægges på Sensum </w:t>
            </w:r>
            <w:r>
              <w:t>B</w:t>
            </w:r>
            <w:r w:rsidRPr="003E6515">
              <w:t>osted og relevante pårørende/personale orienteres om planen.</w:t>
            </w:r>
          </w:p>
        </w:tc>
      </w:tr>
      <w:tr w:rsidR="008113E2" w14:paraId="7944AE7F" w14:textId="77777777" w:rsidTr="008113E2">
        <w:trPr>
          <w:trHeight w:val="1532"/>
        </w:trPr>
        <w:tc>
          <w:tcPr>
            <w:tcW w:w="3363" w:type="dxa"/>
            <w:tcBorders>
              <w:top w:val="single" w:sz="6" w:space="0" w:color="000000"/>
              <w:left w:val="single" w:sz="6" w:space="0" w:color="000000"/>
              <w:bottom w:val="single" w:sz="6" w:space="0" w:color="000000"/>
              <w:right w:val="single" w:sz="6" w:space="0" w:color="000000"/>
            </w:tcBorders>
            <w:shd w:val="clear" w:color="auto" w:fill="EAF1DD"/>
            <w:tcMar>
              <w:top w:w="9" w:type="dxa"/>
              <w:left w:w="0" w:type="dxa"/>
              <w:bottom w:w="0" w:type="dxa"/>
              <w:right w:w="26" w:type="dxa"/>
            </w:tcMar>
            <w:hideMark/>
          </w:tcPr>
          <w:p w14:paraId="7D0BDD39" w14:textId="77777777" w:rsidR="008113E2" w:rsidRPr="001E42DE" w:rsidRDefault="008113E2" w:rsidP="008113E2">
            <w:pPr>
              <w:jc w:val="left"/>
              <w:rPr>
                <w:b/>
                <w:bCs/>
              </w:rPr>
            </w:pPr>
            <w:r w:rsidRPr="001E42DE">
              <w:rPr>
                <w:b/>
                <w:bCs/>
              </w:rPr>
              <w:lastRenderedPageBreak/>
              <w:t>Opfølgning</w:t>
            </w:r>
          </w:p>
        </w:tc>
        <w:tc>
          <w:tcPr>
            <w:tcW w:w="7303"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26" w:type="dxa"/>
            </w:tcMar>
            <w:hideMark/>
          </w:tcPr>
          <w:p w14:paraId="4B32CF90" w14:textId="77777777" w:rsidR="008113E2" w:rsidRPr="00CB1AC3" w:rsidRDefault="008113E2" w:rsidP="008113E2">
            <w:pPr>
              <w:jc w:val="left"/>
              <w:rPr>
                <w:b/>
                <w:bCs/>
              </w:rPr>
            </w:pPr>
            <w:r w:rsidRPr="00CB1AC3">
              <w:rPr>
                <w:b/>
                <w:bCs/>
              </w:rPr>
              <w:t>Planen kan indeholde:</w:t>
            </w:r>
          </w:p>
          <w:p w14:paraId="7751AAE4" w14:textId="77777777" w:rsidR="008113E2" w:rsidRPr="003E6515" w:rsidRDefault="008113E2" w:rsidP="008113E2">
            <w:pPr>
              <w:pStyle w:val="O2-indhold"/>
              <w:jc w:val="left"/>
            </w:pPr>
            <w:r w:rsidRPr="003E6515">
              <w:t>Diagnoser</w:t>
            </w:r>
          </w:p>
          <w:p w14:paraId="1315D608" w14:textId="77777777" w:rsidR="008113E2" w:rsidRPr="003E6515" w:rsidRDefault="008113E2" w:rsidP="008113E2">
            <w:pPr>
              <w:pStyle w:val="O2-indhold"/>
              <w:jc w:val="left"/>
            </w:pPr>
            <w:r w:rsidRPr="003E6515">
              <w:t>Behandlingsniveau, herunder overvejelser om genoplivning ved hjertestop</w:t>
            </w:r>
          </w:p>
          <w:p w14:paraId="47C0A548" w14:textId="77777777" w:rsidR="008113E2" w:rsidRPr="003E6515" w:rsidRDefault="008113E2" w:rsidP="008113E2">
            <w:pPr>
              <w:pStyle w:val="O2-indhold"/>
              <w:jc w:val="left"/>
            </w:pPr>
            <w:r w:rsidRPr="003E6515">
              <w:t>Ordinationer</w:t>
            </w:r>
          </w:p>
          <w:p w14:paraId="449193B9" w14:textId="77777777" w:rsidR="008113E2" w:rsidRPr="003E6515" w:rsidRDefault="008113E2" w:rsidP="008113E2">
            <w:pPr>
              <w:pStyle w:val="O2-indhold"/>
              <w:jc w:val="left"/>
            </w:pPr>
            <w:r w:rsidRPr="003E6515">
              <w:t>Behov for evt. kontrol på sygehus eller hos speciallæge</w:t>
            </w:r>
          </w:p>
          <w:p w14:paraId="1FDCEE82" w14:textId="77777777" w:rsidR="008113E2" w:rsidRPr="003E6515" w:rsidRDefault="008113E2" w:rsidP="008113E2">
            <w:pPr>
              <w:pStyle w:val="O2-indhold"/>
              <w:jc w:val="left"/>
            </w:pPr>
            <w:r w:rsidRPr="003E6515">
              <w:t>Opfølgning (hvis relevant, aftales opfølgende kontakt og/eller faste besøg ved årsstatus)</w:t>
            </w:r>
          </w:p>
          <w:p w14:paraId="79B6C3F2" w14:textId="77777777" w:rsidR="008113E2" w:rsidRPr="003E6515" w:rsidRDefault="008113E2" w:rsidP="008113E2">
            <w:pPr>
              <w:pStyle w:val="O2-indhold"/>
              <w:jc w:val="left"/>
            </w:pPr>
            <w:r w:rsidRPr="003E6515">
              <w:t>Aftale om sundhedstjek fremover</w:t>
            </w:r>
          </w:p>
          <w:p w14:paraId="44D33EAF" w14:textId="77777777" w:rsidR="008113E2" w:rsidRPr="003E6515" w:rsidRDefault="008113E2" w:rsidP="008113E2">
            <w:pPr>
              <w:jc w:val="left"/>
            </w:pPr>
            <w:r w:rsidRPr="003E6515">
              <w:t>Indholdet i planen dokumenteres hvis aktuelt i sundhedsmodulets 12 sundhedsfaglige indsatser. Herunder handleplan samt aftaler om opfølgning.</w:t>
            </w:r>
          </w:p>
          <w:p w14:paraId="301A02D8" w14:textId="1A173F82" w:rsidR="008113E2" w:rsidRDefault="008113E2" w:rsidP="008113E2">
            <w:pPr>
              <w:jc w:val="left"/>
            </w:pPr>
            <w:r w:rsidRPr="003E6515">
              <w:t xml:space="preserve">Såfremt borgeren i samråd med lægen og evt. pårørende (v. stedfortrædende samtykke) ikke ønsker behandling, selvom evt. tilstande indikerer dette, skal </w:t>
            </w:r>
            <w:r>
              <w:t>borgerens ønske</w:t>
            </w:r>
            <w:r w:rsidRPr="003E6515">
              <w:t xml:space="preserve"> efterkomme</w:t>
            </w:r>
            <w:r>
              <w:t>s</w:t>
            </w:r>
            <w:r w:rsidRPr="003E6515">
              <w:t>.</w:t>
            </w:r>
          </w:p>
          <w:p w14:paraId="50DBD729" w14:textId="24125106" w:rsidR="008113E2" w:rsidRPr="003E6515" w:rsidRDefault="008113E2" w:rsidP="008113E2">
            <w:pPr>
              <w:jc w:val="left"/>
            </w:pPr>
            <w:r w:rsidRPr="003E6515">
              <w:t>Lægen holdes underrettet om tilstanden. Spøg lægen om hvordan dette skal foregå – og sørg for at notere denne aftale i journalen.</w:t>
            </w:r>
          </w:p>
          <w:p w14:paraId="1CDA2EDE" w14:textId="77777777" w:rsidR="008113E2" w:rsidRPr="003E6515" w:rsidRDefault="008113E2" w:rsidP="008113E2">
            <w:pPr>
              <w:spacing w:after="240"/>
              <w:jc w:val="left"/>
            </w:pPr>
            <w:r w:rsidRPr="003E6515">
              <w:t xml:space="preserve">Det </w:t>
            </w:r>
            <w:r w:rsidRPr="00E9635F">
              <w:t>skal</w:t>
            </w:r>
            <w:r w:rsidRPr="003E6515">
              <w:t xml:space="preserve"> dokumenteres i journalen, hvis borgeren har fravalgt behandling.</w:t>
            </w:r>
          </w:p>
        </w:tc>
      </w:tr>
      <w:tr w:rsidR="008113E2" w14:paraId="2F9D1C6A" w14:textId="77777777" w:rsidTr="008113E2">
        <w:trPr>
          <w:trHeight w:val="827"/>
        </w:trPr>
        <w:tc>
          <w:tcPr>
            <w:tcW w:w="3363" w:type="dxa"/>
            <w:tcBorders>
              <w:top w:val="single" w:sz="6" w:space="0" w:color="000000"/>
              <w:left w:val="single" w:sz="6" w:space="0" w:color="000000"/>
              <w:bottom w:val="single" w:sz="6" w:space="0" w:color="000000"/>
              <w:right w:val="single" w:sz="6" w:space="0" w:color="000000"/>
            </w:tcBorders>
            <w:shd w:val="clear" w:color="auto" w:fill="EAF1DD"/>
            <w:tcMar>
              <w:top w:w="9" w:type="dxa"/>
              <w:left w:w="0" w:type="dxa"/>
              <w:bottom w:w="0" w:type="dxa"/>
              <w:right w:w="26" w:type="dxa"/>
            </w:tcMar>
          </w:tcPr>
          <w:p w14:paraId="5AE732A6" w14:textId="77777777" w:rsidR="008113E2" w:rsidRPr="001E42DE" w:rsidRDefault="008113E2" w:rsidP="008113E2">
            <w:pPr>
              <w:jc w:val="left"/>
              <w:rPr>
                <w:b/>
                <w:bCs/>
              </w:rPr>
            </w:pPr>
            <w:r w:rsidRPr="001E42DE">
              <w:rPr>
                <w:b/>
                <w:bCs/>
              </w:rPr>
              <w:t>Materiale om sundhedstjekket</w:t>
            </w:r>
          </w:p>
          <w:p w14:paraId="728EF586" w14:textId="77777777" w:rsidR="008113E2" w:rsidRPr="001E42DE" w:rsidRDefault="008113E2" w:rsidP="008113E2">
            <w:pPr>
              <w:jc w:val="left"/>
              <w:rPr>
                <w:b/>
                <w:bCs/>
              </w:rPr>
            </w:pPr>
          </w:p>
          <w:p w14:paraId="716E131B" w14:textId="77777777" w:rsidR="008113E2" w:rsidRPr="001E42DE" w:rsidRDefault="008113E2" w:rsidP="008113E2">
            <w:pPr>
              <w:jc w:val="left"/>
              <w:rPr>
                <w:b/>
                <w:bCs/>
              </w:rPr>
            </w:pPr>
          </w:p>
        </w:tc>
        <w:tc>
          <w:tcPr>
            <w:tcW w:w="7303"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26" w:type="dxa"/>
            </w:tcMar>
          </w:tcPr>
          <w:p w14:paraId="274DD6E5" w14:textId="3CD0EB34" w:rsidR="008113E2" w:rsidRDefault="008113E2" w:rsidP="008113E2">
            <w:pPr>
              <w:jc w:val="left"/>
            </w:pPr>
            <w:r w:rsidRPr="0025233F">
              <w:t xml:space="preserve">Det anbefales, at borgere, </w:t>
            </w:r>
            <w:r>
              <w:t>støttepersonen</w:t>
            </w:r>
            <w:r w:rsidRPr="0025233F">
              <w:t xml:space="preserve"> og praktiserende læger anvender det materiale, der er udarbejdet som del af modellen for gode sundhedstjek. Materiale</w:t>
            </w:r>
            <w:r>
              <w:t xml:space="preserve">t findes på </w:t>
            </w:r>
            <w:r w:rsidRPr="00EA1504">
              <w:rPr>
                <w:i/>
                <w:iCs/>
              </w:rPr>
              <w:t>Broen/Sundhedsfagligt arbejde på socialområdet</w:t>
            </w:r>
            <w:r>
              <w:t xml:space="preserve"> i mappen </w:t>
            </w:r>
            <w:r w:rsidRPr="00EA1504">
              <w:rPr>
                <w:i/>
                <w:iCs/>
              </w:rPr>
              <w:t>Støttedokumenter sundhedstjek</w:t>
            </w:r>
            <w:r>
              <w:t xml:space="preserve">. </w:t>
            </w:r>
          </w:p>
          <w:p w14:paraId="5A182D23" w14:textId="77777777" w:rsidR="008113E2" w:rsidRDefault="008113E2" w:rsidP="008113E2">
            <w:pPr>
              <w:jc w:val="left"/>
            </w:pPr>
          </w:p>
          <w:p w14:paraId="51BF3690" w14:textId="5A9528DF" w:rsidR="008113E2" w:rsidRPr="0025233F" w:rsidRDefault="008113E2" w:rsidP="008113E2">
            <w:pPr>
              <w:jc w:val="left"/>
              <w:rPr>
                <w:b/>
                <w:bCs/>
              </w:rPr>
            </w:pPr>
            <w:r>
              <w:t>M</w:t>
            </w:r>
            <w:r w:rsidRPr="0025233F">
              <w:t>aterialet består af information om sundhedstjek målrettet henholdsvis borgere/på</w:t>
            </w:r>
            <w:r>
              <w:t>rørende og personale på bosteder</w:t>
            </w:r>
            <w:r w:rsidRPr="0025233F">
              <w:t xml:space="preserve"> samt et forberedelsesskema om borgerens sundhed, der med fordel kan udfyldes sammen med borgeren forud for sundhedstjekket.</w:t>
            </w:r>
          </w:p>
        </w:tc>
      </w:tr>
      <w:tr w:rsidR="008113E2" w:rsidRPr="00063F99" w14:paraId="06DC4007" w14:textId="77777777" w:rsidTr="008113E2">
        <w:trPr>
          <w:trHeight w:val="1047"/>
        </w:trPr>
        <w:tc>
          <w:tcPr>
            <w:tcW w:w="3363" w:type="dxa"/>
            <w:tcBorders>
              <w:top w:val="single" w:sz="6" w:space="0" w:color="000000"/>
              <w:left w:val="single" w:sz="6" w:space="0" w:color="000000"/>
              <w:bottom w:val="single" w:sz="6" w:space="0" w:color="000000"/>
              <w:right w:val="single" w:sz="6" w:space="0" w:color="000000"/>
            </w:tcBorders>
            <w:shd w:val="clear" w:color="auto" w:fill="EAF1DD"/>
            <w:tcMar>
              <w:top w:w="8" w:type="dxa"/>
              <w:left w:w="70" w:type="dxa"/>
              <w:bottom w:w="0" w:type="dxa"/>
              <w:right w:w="46" w:type="dxa"/>
            </w:tcMar>
            <w:hideMark/>
          </w:tcPr>
          <w:p w14:paraId="6C665733" w14:textId="37DBC861" w:rsidR="008113E2" w:rsidRPr="001E42DE" w:rsidRDefault="008113E2" w:rsidP="008113E2">
            <w:pPr>
              <w:spacing w:after="0"/>
              <w:jc w:val="left"/>
              <w:rPr>
                <w:rFonts w:eastAsia="Arial"/>
                <w:b/>
                <w:bCs/>
              </w:rPr>
            </w:pPr>
            <w:r w:rsidRPr="001E42DE">
              <w:rPr>
                <w:rFonts w:eastAsia="Arial"/>
                <w:b/>
                <w:bCs/>
              </w:rPr>
              <w:t>Udarbejdet den:</w:t>
            </w:r>
          </w:p>
          <w:p w14:paraId="05A30FCD" w14:textId="77777777" w:rsidR="008113E2" w:rsidRPr="001E42DE" w:rsidRDefault="008113E2" w:rsidP="008113E2">
            <w:pPr>
              <w:jc w:val="left"/>
              <w:rPr>
                <w:rFonts w:eastAsia="Arial"/>
                <w:b/>
                <w:bCs/>
              </w:rPr>
            </w:pPr>
          </w:p>
          <w:p w14:paraId="2D2C32D8" w14:textId="77777777" w:rsidR="008113E2" w:rsidRPr="001E42DE" w:rsidRDefault="008113E2" w:rsidP="008113E2">
            <w:pPr>
              <w:spacing w:after="0"/>
              <w:jc w:val="left"/>
              <w:rPr>
                <w:rFonts w:eastAsia="Arial"/>
                <w:b/>
                <w:bCs/>
              </w:rPr>
            </w:pPr>
            <w:r w:rsidRPr="001E42DE">
              <w:rPr>
                <w:rFonts w:eastAsia="Arial"/>
                <w:b/>
                <w:bCs/>
              </w:rPr>
              <w:t>Udarbejdet af:</w:t>
            </w:r>
          </w:p>
          <w:p w14:paraId="14D86061" w14:textId="77777777" w:rsidR="008113E2" w:rsidRPr="001E42DE" w:rsidRDefault="008113E2" w:rsidP="008113E2">
            <w:pPr>
              <w:jc w:val="left"/>
              <w:rPr>
                <w:rFonts w:eastAsia="Arial"/>
                <w:b/>
                <w:bCs/>
              </w:rPr>
            </w:pPr>
          </w:p>
          <w:p w14:paraId="4BF61944" w14:textId="77777777" w:rsidR="008113E2" w:rsidRPr="001E42DE" w:rsidRDefault="008113E2" w:rsidP="008113E2">
            <w:pPr>
              <w:spacing w:after="0"/>
              <w:jc w:val="left"/>
              <w:rPr>
                <w:rFonts w:eastAsia="Arial"/>
                <w:b/>
                <w:bCs/>
              </w:rPr>
            </w:pPr>
            <w:r w:rsidRPr="001E42DE">
              <w:rPr>
                <w:rFonts w:eastAsia="Arial"/>
                <w:b/>
                <w:bCs/>
              </w:rPr>
              <w:t>Sidst revideret:</w:t>
            </w:r>
          </w:p>
          <w:p w14:paraId="3B34301A" w14:textId="77777777" w:rsidR="008113E2" w:rsidRPr="001E42DE" w:rsidRDefault="008113E2" w:rsidP="008113E2">
            <w:pPr>
              <w:jc w:val="left"/>
              <w:rPr>
                <w:rFonts w:eastAsia="Arial"/>
                <w:b/>
                <w:bCs/>
              </w:rPr>
            </w:pPr>
          </w:p>
          <w:p w14:paraId="5C262C96" w14:textId="77777777" w:rsidR="008113E2" w:rsidRPr="001E42DE" w:rsidRDefault="008113E2" w:rsidP="008113E2">
            <w:pPr>
              <w:spacing w:after="0"/>
              <w:jc w:val="left"/>
              <w:rPr>
                <w:rFonts w:eastAsia="Arial"/>
                <w:b/>
                <w:bCs/>
              </w:rPr>
            </w:pPr>
            <w:r w:rsidRPr="001E42DE">
              <w:rPr>
                <w:rFonts w:eastAsia="Arial"/>
                <w:b/>
                <w:bCs/>
              </w:rPr>
              <w:t>Revideres inden:</w:t>
            </w:r>
          </w:p>
          <w:p w14:paraId="3F8959D9" w14:textId="77777777" w:rsidR="008113E2" w:rsidRPr="001E42DE" w:rsidRDefault="008113E2" w:rsidP="008113E2">
            <w:pPr>
              <w:jc w:val="left"/>
              <w:rPr>
                <w:rFonts w:eastAsia="Arial"/>
                <w:b/>
                <w:bCs/>
              </w:rPr>
            </w:pPr>
          </w:p>
          <w:p w14:paraId="1348AE21" w14:textId="77777777" w:rsidR="008113E2" w:rsidRPr="001E42DE" w:rsidRDefault="008113E2" w:rsidP="008113E2">
            <w:pPr>
              <w:spacing w:after="0"/>
              <w:jc w:val="left"/>
              <w:rPr>
                <w:rFonts w:eastAsia="Arial"/>
                <w:b/>
                <w:bCs/>
              </w:rPr>
            </w:pPr>
            <w:r w:rsidRPr="001E42DE">
              <w:rPr>
                <w:rFonts w:eastAsia="Arial"/>
                <w:b/>
                <w:bCs/>
              </w:rPr>
              <w:t>Godkendt af:</w:t>
            </w:r>
          </w:p>
        </w:tc>
        <w:tc>
          <w:tcPr>
            <w:tcW w:w="7303" w:type="dxa"/>
            <w:tcBorders>
              <w:top w:val="single" w:sz="6" w:space="0" w:color="000000"/>
              <w:left w:val="single" w:sz="6" w:space="0" w:color="000000"/>
              <w:bottom w:val="single" w:sz="6" w:space="0" w:color="000000"/>
              <w:right w:val="single" w:sz="6" w:space="0" w:color="000000"/>
            </w:tcBorders>
            <w:shd w:val="clear" w:color="auto" w:fill="auto"/>
            <w:tcMar>
              <w:top w:w="8" w:type="dxa"/>
              <w:left w:w="70" w:type="dxa"/>
              <w:bottom w:w="0" w:type="dxa"/>
              <w:right w:w="46" w:type="dxa"/>
            </w:tcMar>
            <w:hideMark/>
          </w:tcPr>
          <w:p w14:paraId="2F88FF03" w14:textId="39A10798" w:rsidR="008113E2" w:rsidRPr="00D36605" w:rsidRDefault="008113E2" w:rsidP="008113E2">
            <w:pPr>
              <w:spacing w:after="100" w:afterAutospacing="1"/>
              <w:jc w:val="left"/>
              <w:rPr>
                <w:rFonts w:eastAsia="Arial"/>
                <w:lang w:val="en-US"/>
              </w:rPr>
            </w:pPr>
            <w:r w:rsidRPr="00D36605">
              <w:rPr>
                <w:rFonts w:eastAsia="Arial"/>
                <w:lang w:val="en-US"/>
              </w:rPr>
              <w:t>Januar</w:t>
            </w:r>
            <w:r>
              <w:rPr>
                <w:rFonts w:eastAsia="Arial"/>
                <w:lang w:val="en-US"/>
              </w:rPr>
              <w:t xml:space="preserve"> </w:t>
            </w:r>
            <w:r w:rsidRPr="00D36605">
              <w:rPr>
                <w:rFonts w:eastAsia="Arial"/>
                <w:lang w:val="en-US"/>
              </w:rPr>
              <w:t>2022</w:t>
            </w:r>
          </w:p>
          <w:p w14:paraId="35ABEEF5" w14:textId="3791D8C9" w:rsidR="008113E2" w:rsidRPr="00D36605" w:rsidRDefault="008113E2" w:rsidP="008113E2">
            <w:pPr>
              <w:spacing w:after="0"/>
              <w:jc w:val="left"/>
              <w:rPr>
                <w:rFonts w:eastAsia="Arial"/>
                <w:lang w:val="en-US"/>
              </w:rPr>
            </w:pPr>
            <w:r w:rsidRPr="00D36605">
              <w:rPr>
                <w:rFonts w:eastAsia="Arial"/>
                <w:lang w:val="en-US"/>
              </w:rPr>
              <w:t>Ghita Steenholt, Cand. Cur.</w:t>
            </w:r>
          </w:p>
          <w:p w14:paraId="1FFAF0D1" w14:textId="2D668676" w:rsidR="008113E2" w:rsidRPr="00D36605" w:rsidRDefault="008113E2" w:rsidP="008113E2">
            <w:pPr>
              <w:jc w:val="left"/>
              <w:rPr>
                <w:rFonts w:eastAsia="Arial"/>
                <w:lang w:val="en-US"/>
              </w:rPr>
            </w:pPr>
          </w:p>
          <w:p w14:paraId="78F54429" w14:textId="3058A861" w:rsidR="008113E2" w:rsidRDefault="008113E2" w:rsidP="008113E2">
            <w:pPr>
              <w:spacing w:after="0"/>
              <w:jc w:val="left"/>
              <w:rPr>
                <w:rFonts w:eastAsia="Arial"/>
              </w:rPr>
            </w:pPr>
            <w:r>
              <w:rPr>
                <w:rFonts w:eastAsia="Arial"/>
              </w:rPr>
              <w:t>November 2023</w:t>
            </w:r>
          </w:p>
          <w:p w14:paraId="7444C89C" w14:textId="77777777" w:rsidR="008113E2" w:rsidRDefault="008113E2" w:rsidP="008113E2">
            <w:pPr>
              <w:jc w:val="left"/>
              <w:rPr>
                <w:rFonts w:eastAsia="Arial"/>
              </w:rPr>
            </w:pPr>
          </w:p>
          <w:p w14:paraId="0DD10249" w14:textId="5630C86D" w:rsidR="008113E2" w:rsidRDefault="008113E2" w:rsidP="008113E2">
            <w:pPr>
              <w:spacing w:after="0"/>
              <w:jc w:val="left"/>
              <w:rPr>
                <w:rFonts w:eastAsia="Arial"/>
              </w:rPr>
            </w:pPr>
            <w:r w:rsidRPr="00FF0EB0">
              <w:rPr>
                <w:rFonts w:eastAsia="Arial"/>
              </w:rPr>
              <w:t xml:space="preserve">Revideres efter behov og senest </w:t>
            </w:r>
            <w:r>
              <w:rPr>
                <w:rFonts w:eastAsia="Arial"/>
              </w:rPr>
              <w:t>november</w:t>
            </w:r>
            <w:r w:rsidRPr="00FF0EB0">
              <w:rPr>
                <w:rFonts w:eastAsia="Arial"/>
              </w:rPr>
              <w:t xml:space="preserve"> 20</w:t>
            </w:r>
            <w:r>
              <w:rPr>
                <w:rFonts w:eastAsia="Arial"/>
              </w:rPr>
              <w:t>25</w:t>
            </w:r>
          </w:p>
          <w:p w14:paraId="26515681" w14:textId="77777777" w:rsidR="008113E2" w:rsidRDefault="008113E2" w:rsidP="008113E2">
            <w:pPr>
              <w:jc w:val="left"/>
              <w:rPr>
                <w:rFonts w:eastAsia="Arial"/>
              </w:rPr>
            </w:pPr>
          </w:p>
          <w:p w14:paraId="19705E3E" w14:textId="77777777" w:rsidR="008113E2" w:rsidRPr="00063F99" w:rsidRDefault="008113E2" w:rsidP="008113E2">
            <w:pPr>
              <w:spacing w:after="0"/>
              <w:jc w:val="left"/>
              <w:rPr>
                <w:rFonts w:eastAsia="Arial"/>
              </w:rPr>
            </w:pPr>
            <w:r w:rsidRPr="001149E4">
              <w:rPr>
                <w:rFonts w:eastAsia="Arial"/>
              </w:rPr>
              <w:t xml:space="preserve">Centerledergruppen og </w:t>
            </w:r>
            <w:r>
              <w:rPr>
                <w:rFonts w:eastAsia="Arial"/>
              </w:rPr>
              <w:t>S</w:t>
            </w:r>
            <w:r w:rsidRPr="001149E4">
              <w:rPr>
                <w:rFonts w:eastAsia="Arial"/>
              </w:rPr>
              <w:t>ocialchefen</w:t>
            </w:r>
          </w:p>
        </w:tc>
      </w:tr>
    </w:tbl>
    <w:p w14:paraId="2EA81A1F" w14:textId="6D90C15D" w:rsidR="000A2518" w:rsidRDefault="000A2518" w:rsidP="00395F88"/>
    <w:p w14:paraId="7D24FA47" w14:textId="783B5342" w:rsidR="00FB0692" w:rsidRDefault="00FB0692" w:rsidP="00CB1AC3">
      <w:pPr>
        <w:pStyle w:val="O2-indhold"/>
        <w:numPr>
          <w:ilvl w:val="0"/>
          <w:numId w:val="0"/>
        </w:numPr>
      </w:pPr>
    </w:p>
    <w:sectPr w:rsidR="00FB0692" w:rsidSect="00395F8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0BA3" w14:textId="77777777" w:rsidR="00E32CE8" w:rsidRDefault="00E32CE8" w:rsidP="00002FF4">
      <w:pPr>
        <w:spacing w:after="0"/>
      </w:pPr>
      <w:r>
        <w:separator/>
      </w:r>
    </w:p>
  </w:endnote>
  <w:endnote w:type="continuationSeparator" w:id="0">
    <w:p w14:paraId="36DAB1E8" w14:textId="77777777" w:rsidR="00E32CE8" w:rsidRDefault="00E32CE8" w:rsidP="00002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724F" w14:textId="77777777" w:rsidR="006F2286" w:rsidRDefault="006F22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2FFE" w14:textId="77777777" w:rsidR="006F2286" w:rsidRDefault="006F228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F158" w14:textId="77777777" w:rsidR="006F2286" w:rsidRDefault="006F22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B3BE" w14:textId="77777777" w:rsidR="00E32CE8" w:rsidRDefault="00E32CE8" w:rsidP="00002FF4">
      <w:pPr>
        <w:spacing w:after="0"/>
      </w:pPr>
      <w:r>
        <w:separator/>
      </w:r>
    </w:p>
  </w:footnote>
  <w:footnote w:type="continuationSeparator" w:id="0">
    <w:p w14:paraId="1B629E3D" w14:textId="77777777" w:rsidR="00E32CE8" w:rsidRDefault="00E32CE8" w:rsidP="00002F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884" w14:textId="77777777" w:rsidR="006F2286" w:rsidRDefault="006F22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2437" w14:textId="77777777" w:rsidR="00002FF4" w:rsidRDefault="00002FF4" w:rsidP="00002FF4">
    <w:pPr>
      <w:pStyle w:val="Sidehoved"/>
    </w:pPr>
    <w:bookmarkStart w:id="1" w:name="_Hlk134434705"/>
    <w:bookmarkStart w:id="2" w:name="_Hlk134437039"/>
    <w:r>
      <w:rPr>
        <w:noProof/>
      </w:rPr>
      <w:drawing>
        <wp:inline distT="0" distB="0" distL="0" distR="0" wp14:anchorId="71E92260" wp14:editId="309A9FC9">
          <wp:extent cx="1647825" cy="142875"/>
          <wp:effectExtent l="0" t="0" r="9525" b="9525"/>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t xml:space="preserve">   </w:t>
    </w:r>
    <w:r>
      <w:rPr>
        <w:noProof/>
      </w:rPr>
      <w:drawing>
        <wp:inline distT="0" distB="0" distL="0" distR="0" wp14:anchorId="7047E088" wp14:editId="2BF95521">
          <wp:extent cx="600075" cy="714375"/>
          <wp:effectExtent l="0" t="0" r="9525" b="9525"/>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bookmarkEnd w:id="1"/>
  </w:p>
  <w:bookmarkEnd w:id="2"/>
  <w:p w14:paraId="27B1396D" w14:textId="77777777" w:rsidR="00002FF4" w:rsidRPr="00002FF4" w:rsidRDefault="00002FF4" w:rsidP="00002FF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F335" w14:textId="77777777" w:rsidR="006F2286" w:rsidRDefault="006F22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4B4"/>
    <w:multiLevelType w:val="hybridMultilevel"/>
    <w:tmpl w:val="31F26F4C"/>
    <w:lvl w:ilvl="0" w:tplc="13D63BF2">
      <w:start w:val="1"/>
      <w:numFmt w:val="bullet"/>
      <w:pStyle w:val="O2-indhold"/>
      <w:lvlText w:val=""/>
      <w:lvlJc w:val="left"/>
      <w:pPr>
        <w:ind w:left="721" w:hanging="360"/>
      </w:pPr>
      <w:rPr>
        <w:rFonts w:ascii="Wingdings" w:hAnsi="Wingdings" w:hint="default"/>
      </w:rPr>
    </w:lvl>
    <w:lvl w:ilvl="1" w:tplc="04060003">
      <w:start w:val="1"/>
      <w:numFmt w:val="bullet"/>
      <w:lvlText w:val="o"/>
      <w:lvlJc w:val="left"/>
      <w:pPr>
        <w:ind w:left="1441" w:hanging="360"/>
      </w:pPr>
      <w:rPr>
        <w:rFonts w:ascii="Courier New" w:hAnsi="Courier New" w:cs="Courier New" w:hint="default"/>
      </w:rPr>
    </w:lvl>
    <w:lvl w:ilvl="2" w:tplc="04060005">
      <w:start w:val="1"/>
      <w:numFmt w:val="bullet"/>
      <w:lvlText w:val=""/>
      <w:lvlJc w:val="left"/>
      <w:pPr>
        <w:ind w:left="2161" w:hanging="360"/>
      </w:pPr>
      <w:rPr>
        <w:rFonts w:ascii="Wingdings" w:hAnsi="Wingdings" w:hint="default"/>
      </w:rPr>
    </w:lvl>
    <w:lvl w:ilvl="3" w:tplc="04060001">
      <w:start w:val="1"/>
      <w:numFmt w:val="bullet"/>
      <w:lvlText w:val=""/>
      <w:lvlJc w:val="left"/>
      <w:pPr>
        <w:ind w:left="2881" w:hanging="360"/>
      </w:pPr>
      <w:rPr>
        <w:rFonts w:ascii="Symbol" w:hAnsi="Symbol" w:hint="default"/>
      </w:rPr>
    </w:lvl>
    <w:lvl w:ilvl="4" w:tplc="04060003">
      <w:start w:val="1"/>
      <w:numFmt w:val="bullet"/>
      <w:lvlText w:val="o"/>
      <w:lvlJc w:val="left"/>
      <w:pPr>
        <w:ind w:left="3601" w:hanging="360"/>
      </w:pPr>
      <w:rPr>
        <w:rFonts w:ascii="Courier New" w:hAnsi="Courier New" w:cs="Courier New" w:hint="default"/>
      </w:rPr>
    </w:lvl>
    <w:lvl w:ilvl="5" w:tplc="04060005">
      <w:start w:val="1"/>
      <w:numFmt w:val="bullet"/>
      <w:lvlText w:val=""/>
      <w:lvlJc w:val="left"/>
      <w:pPr>
        <w:ind w:left="4321" w:hanging="360"/>
      </w:pPr>
      <w:rPr>
        <w:rFonts w:ascii="Wingdings" w:hAnsi="Wingdings" w:hint="default"/>
      </w:rPr>
    </w:lvl>
    <w:lvl w:ilvl="6" w:tplc="04060001">
      <w:start w:val="1"/>
      <w:numFmt w:val="bullet"/>
      <w:lvlText w:val=""/>
      <w:lvlJc w:val="left"/>
      <w:pPr>
        <w:ind w:left="5041" w:hanging="360"/>
      </w:pPr>
      <w:rPr>
        <w:rFonts w:ascii="Symbol" w:hAnsi="Symbol" w:hint="default"/>
      </w:rPr>
    </w:lvl>
    <w:lvl w:ilvl="7" w:tplc="04060003">
      <w:start w:val="1"/>
      <w:numFmt w:val="bullet"/>
      <w:lvlText w:val="o"/>
      <w:lvlJc w:val="left"/>
      <w:pPr>
        <w:ind w:left="5761" w:hanging="360"/>
      </w:pPr>
      <w:rPr>
        <w:rFonts w:ascii="Courier New" w:hAnsi="Courier New" w:cs="Courier New" w:hint="default"/>
      </w:rPr>
    </w:lvl>
    <w:lvl w:ilvl="8" w:tplc="04060005">
      <w:start w:val="1"/>
      <w:numFmt w:val="bullet"/>
      <w:lvlText w:val=""/>
      <w:lvlJc w:val="left"/>
      <w:pPr>
        <w:ind w:left="6481" w:hanging="360"/>
      </w:pPr>
      <w:rPr>
        <w:rFonts w:ascii="Wingdings" w:hAnsi="Wingdings" w:hint="default"/>
      </w:rPr>
    </w:lvl>
  </w:abstractNum>
  <w:abstractNum w:abstractNumId="1" w15:restartNumberingAfterBreak="0">
    <w:nsid w:val="14F9434E"/>
    <w:multiLevelType w:val="multilevel"/>
    <w:tmpl w:val="B87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12090"/>
    <w:multiLevelType w:val="multilevel"/>
    <w:tmpl w:val="C41866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5A7934"/>
    <w:multiLevelType w:val="hybridMultilevel"/>
    <w:tmpl w:val="11B46326"/>
    <w:lvl w:ilvl="0" w:tplc="F82C5688">
      <w:start w:val="1"/>
      <w:numFmt w:val="bullet"/>
      <w:lvlText w:val="-"/>
      <w:lvlJc w:val="left"/>
      <w:pPr>
        <w:ind w:left="721"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441" w:hanging="360"/>
      </w:pPr>
      <w:rPr>
        <w:rFonts w:ascii="Courier New" w:hAnsi="Courier New" w:cs="Courier New" w:hint="default"/>
      </w:rPr>
    </w:lvl>
    <w:lvl w:ilvl="2" w:tplc="04060005">
      <w:start w:val="1"/>
      <w:numFmt w:val="bullet"/>
      <w:lvlText w:val=""/>
      <w:lvlJc w:val="left"/>
      <w:pPr>
        <w:ind w:left="2161" w:hanging="360"/>
      </w:pPr>
      <w:rPr>
        <w:rFonts w:ascii="Wingdings" w:hAnsi="Wingdings" w:hint="default"/>
      </w:rPr>
    </w:lvl>
    <w:lvl w:ilvl="3" w:tplc="04060001">
      <w:start w:val="1"/>
      <w:numFmt w:val="bullet"/>
      <w:lvlText w:val=""/>
      <w:lvlJc w:val="left"/>
      <w:pPr>
        <w:ind w:left="2881" w:hanging="360"/>
      </w:pPr>
      <w:rPr>
        <w:rFonts w:ascii="Symbol" w:hAnsi="Symbol" w:hint="default"/>
      </w:rPr>
    </w:lvl>
    <w:lvl w:ilvl="4" w:tplc="04060003">
      <w:start w:val="1"/>
      <w:numFmt w:val="bullet"/>
      <w:lvlText w:val="o"/>
      <w:lvlJc w:val="left"/>
      <w:pPr>
        <w:ind w:left="3601" w:hanging="360"/>
      </w:pPr>
      <w:rPr>
        <w:rFonts w:ascii="Courier New" w:hAnsi="Courier New" w:cs="Courier New" w:hint="default"/>
      </w:rPr>
    </w:lvl>
    <w:lvl w:ilvl="5" w:tplc="04060005">
      <w:start w:val="1"/>
      <w:numFmt w:val="bullet"/>
      <w:lvlText w:val=""/>
      <w:lvlJc w:val="left"/>
      <w:pPr>
        <w:ind w:left="4321" w:hanging="360"/>
      </w:pPr>
      <w:rPr>
        <w:rFonts w:ascii="Wingdings" w:hAnsi="Wingdings" w:hint="default"/>
      </w:rPr>
    </w:lvl>
    <w:lvl w:ilvl="6" w:tplc="04060001">
      <w:start w:val="1"/>
      <w:numFmt w:val="bullet"/>
      <w:lvlText w:val=""/>
      <w:lvlJc w:val="left"/>
      <w:pPr>
        <w:ind w:left="5041" w:hanging="360"/>
      </w:pPr>
      <w:rPr>
        <w:rFonts w:ascii="Symbol" w:hAnsi="Symbol" w:hint="default"/>
      </w:rPr>
    </w:lvl>
    <w:lvl w:ilvl="7" w:tplc="04060003">
      <w:start w:val="1"/>
      <w:numFmt w:val="bullet"/>
      <w:lvlText w:val="o"/>
      <w:lvlJc w:val="left"/>
      <w:pPr>
        <w:ind w:left="5761" w:hanging="360"/>
      </w:pPr>
      <w:rPr>
        <w:rFonts w:ascii="Courier New" w:hAnsi="Courier New" w:cs="Courier New" w:hint="default"/>
      </w:rPr>
    </w:lvl>
    <w:lvl w:ilvl="8" w:tplc="04060005">
      <w:start w:val="1"/>
      <w:numFmt w:val="bullet"/>
      <w:lvlText w:val=""/>
      <w:lvlJc w:val="left"/>
      <w:pPr>
        <w:ind w:left="6481" w:hanging="360"/>
      </w:pPr>
      <w:rPr>
        <w:rFonts w:ascii="Wingdings" w:hAnsi="Wingdings" w:hint="default"/>
      </w:rPr>
    </w:lvl>
  </w:abstractNum>
  <w:abstractNum w:abstractNumId="4" w15:restartNumberingAfterBreak="0">
    <w:nsid w:val="228D246D"/>
    <w:multiLevelType w:val="hybridMultilevel"/>
    <w:tmpl w:val="CC72D0D6"/>
    <w:lvl w:ilvl="0" w:tplc="2B56EB6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71B5F90"/>
    <w:multiLevelType w:val="hybridMultilevel"/>
    <w:tmpl w:val="C278F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EBE5A9B"/>
    <w:multiLevelType w:val="multilevel"/>
    <w:tmpl w:val="6F08EE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6A22EC8"/>
    <w:multiLevelType w:val="hybridMultilevel"/>
    <w:tmpl w:val="BB7C3A0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ED48BF"/>
    <w:multiLevelType w:val="multilevel"/>
    <w:tmpl w:val="0B7C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04B5F"/>
    <w:multiLevelType w:val="hybridMultilevel"/>
    <w:tmpl w:val="45B46C96"/>
    <w:lvl w:ilvl="0" w:tplc="29A2995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1A0C7B"/>
    <w:multiLevelType w:val="hybridMultilevel"/>
    <w:tmpl w:val="D5407270"/>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519867ED"/>
    <w:multiLevelType w:val="hybridMultilevel"/>
    <w:tmpl w:val="220458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7227515"/>
    <w:multiLevelType w:val="hybridMultilevel"/>
    <w:tmpl w:val="D288459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7616BC4"/>
    <w:multiLevelType w:val="hybridMultilevel"/>
    <w:tmpl w:val="35D0C7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7A524CB"/>
    <w:multiLevelType w:val="hybridMultilevel"/>
    <w:tmpl w:val="341A19C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9897355"/>
    <w:multiLevelType w:val="multilevel"/>
    <w:tmpl w:val="BC40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3C31E1"/>
    <w:multiLevelType w:val="hybridMultilevel"/>
    <w:tmpl w:val="B308CDE6"/>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7" w15:restartNumberingAfterBreak="0">
    <w:nsid w:val="70595AB2"/>
    <w:multiLevelType w:val="hybridMultilevel"/>
    <w:tmpl w:val="38B6FBE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E12452"/>
    <w:multiLevelType w:val="hybridMultilevel"/>
    <w:tmpl w:val="4770259A"/>
    <w:lvl w:ilvl="0" w:tplc="F82C5688">
      <w:start w:val="1"/>
      <w:numFmt w:val="bullet"/>
      <w:lvlText w:val="-"/>
      <w:lvlJc w:val="left"/>
      <w:pPr>
        <w:ind w:left="2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D6CD23E">
      <w:start w:val="1"/>
      <w:numFmt w:val="bullet"/>
      <w:lvlText w:val="o"/>
      <w:lvlJc w:val="left"/>
      <w:pPr>
        <w:ind w:left="11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0BE2840">
      <w:start w:val="1"/>
      <w:numFmt w:val="bullet"/>
      <w:lvlText w:val="▪"/>
      <w:lvlJc w:val="left"/>
      <w:pPr>
        <w:ind w:left="18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F3C8390">
      <w:start w:val="1"/>
      <w:numFmt w:val="bullet"/>
      <w:lvlText w:val="•"/>
      <w:lvlJc w:val="left"/>
      <w:pPr>
        <w:ind w:left="25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8062E82">
      <w:start w:val="1"/>
      <w:numFmt w:val="bullet"/>
      <w:lvlText w:val="o"/>
      <w:lvlJc w:val="left"/>
      <w:pPr>
        <w:ind w:left="33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0FE833E">
      <w:start w:val="1"/>
      <w:numFmt w:val="bullet"/>
      <w:lvlText w:val="▪"/>
      <w:lvlJc w:val="left"/>
      <w:pPr>
        <w:ind w:left="40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240FCBA">
      <w:start w:val="1"/>
      <w:numFmt w:val="bullet"/>
      <w:lvlText w:val="•"/>
      <w:lvlJc w:val="left"/>
      <w:pPr>
        <w:ind w:left="47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87C328A">
      <w:start w:val="1"/>
      <w:numFmt w:val="bullet"/>
      <w:lvlText w:val="o"/>
      <w:lvlJc w:val="left"/>
      <w:pPr>
        <w:ind w:left="54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01A5824">
      <w:start w:val="1"/>
      <w:numFmt w:val="bullet"/>
      <w:lvlText w:val="▪"/>
      <w:lvlJc w:val="left"/>
      <w:pPr>
        <w:ind w:left="61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733A5847"/>
    <w:multiLevelType w:val="hybridMultilevel"/>
    <w:tmpl w:val="94588A32"/>
    <w:lvl w:ilvl="0" w:tplc="0406000B">
      <w:start w:val="1"/>
      <w:numFmt w:val="bullet"/>
      <w:lvlText w:val=""/>
      <w:lvlJc w:val="left"/>
      <w:pPr>
        <w:ind w:left="774" w:hanging="360"/>
      </w:pPr>
      <w:rPr>
        <w:rFonts w:ascii="Wingdings" w:hAnsi="Wingdings" w:hint="default"/>
      </w:rPr>
    </w:lvl>
    <w:lvl w:ilvl="1" w:tplc="04060003">
      <w:start w:val="1"/>
      <w:numFmt w:val="bullet"/>
      <w:lvlText w:val="o"/>
      <w:lvlJc w:val="left"/>
      <w:pPr>
        <w:ind w:left="1494" w:hanging="360"/>
      </w:pPr>
      <w:rPr>
        <w:rFonts w:ascii="Courier New" w:hAnsi="Courier New" w:cs="Courier New" w:hint="default"/>
      </w:rPr>
    </w:lvl>
    <w:lvl w:ilvl="2" w:tplc="04060005">
      <w:start w:val="1"/>
      <w:numFmt w:val="bullet"/>
      <w:lvlText w:val=""/>
      <w:lvlJc w:val="left"/>
      <w:pPr>
        <w:ind w:left="2214" w:hanging="360"/>
      </w:pPr>
      <w:rPr>
        <w:rFonts w:ascii="Wingdings" w:hAnsi="Wingdings" w:hint="default"/>
      </w:rPr>
    </w:lvl>
    <w:lvl w:ilvl="3" w:tplc="04060001">
      <w:start w:val="1"/>
      <w:numFmt w:val="bullet"/>
      <w:lvlText w:val=""/>
      <w:lvlJc w:val="left"/>
      <w:pPr>
        <w:ind w:left="2934" w:hanging="360"/>
      </w:pPr>
      <w:rPr>
        <w:rFonts w:ascii="Symbol" w:hAnsi="Symbol" w:hint="default"/>
      </w:rPr>
    </w:lvl>
    <w:lvl w:ilvl="4" w:tplc="04060003">
      <w:start w:val="1"/>
      <w:numFmt w:val="bullet"/>
      <w:lvlText w:val="o"/>
      <w:lvlJc w:val="left"/>
      <w:pPr>
        <w:ind w:left="3654" w:hanging="360"/>
      </w:pPr>
      <w:rPr>
        <w:rFonts w:ascii="Courier New" w:hAnsi="Courier New" w:cs="Courier New" w:hint="default"/>
      </w:rPr>
    </w:lvl>
    <w:lvl w:ilvl="5" w:tplc="04060005">
      <w:start w:val="1"/>
      <w:numFmt w:val="bullet"/>
      <w:lvlText w:val=""/>
      <w:lvlJc w:val="left"/>
      <w:pPr>
        <w:ind w:left="4374" w:hanging="360"/>
      </w:pPr>
      <w:rPr>
        <w:rFonts w:ascii="Wingdings" w:hAnsi="Wingdings" w:hint="default"/>
      </w:rPr>
    </w:lvl>
    <w:lvl w:ilvl="6" w:tplc="04060001">
      <w:start w:val="1"/>
      <w:numFmt w:val="bullet"/>
      <w:lvlText w:val=""/>
      <w:lvlJc w:val="left"/>
      <w:pPr>
        <w:ind w:left="5094" w:hanging="360"/>
      </w:pPr>
      <w:rPr>
        <w:rFonts w:ascii="Symbol" w:hAnsi="Symbol" w:hint="default"/>
      </w:rPr>
    </w:lvl>
    <w:lvl w:ilvl="7" w:tplc="04060003">
      <w:start w:val="1"/>
      <w:numFmt w:val="bullet"/>
      <w:lvlText w:val="o"/>
      <w:lvlJc w:val="left"/>
      <w:pPr>
        <w:ind w:left="5814" w:hanging="360"/>
      </w:pPr>
      <w:rPr>
        <w:rFonts w:ascii="Courier New" w:hAnsi="Courier New" w:cs="Courier New" w:hint="default"/>
      </w:rPr>
    </w:lvl>
    <w:lvl w:ilvl="8" w:tplc="04060005">
      <w:start w:val="1"/>
      <w:numFmt w:val="bullet"/>
      <w:lvlText w:val=""/>
      <w:lvlJc w:val="left"/>
      <w:pPr>
        <w:ind w:left="6534" w:hanging="360"/>
      </w:pPr>
      <w:rPr>
        <w:rFonts w:ascii="Wingdings" w:hAnsi="Wingdings" w:hint="default"/>
      </w:rPr>
    </w:lvl>
  </w:abstractNum>
  <w:abstractNum w:abstractNumId="20" w15:restartNumberingAfterBreak="0">
    <w:nsid w:val="79684D94"/>
    <w:multiLevelType w:val="multilevel"/>
    <w:tmpl w:val="EDC8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14369">
    <w:abstractNumId w:val="18"/>
  </w:num>
  <w:num w:numId="2" w16cid:durableId="1794791115">
    <w:abstractNumId w:val="0"/>
  </w:num>
  <w:num w:numId="3" w16cid:durableId="442313300">
    <w:abstractNumId w:val="19"/>
  </w:num>
  <w:num w:numId="4" w16cid:durableId="1295719293">
    <w:abstractNumId w:val="3"/>
  </w:num>
  <w:num w:numId="5" w16cid:durableId="978261670">
    <w:abstractNumId w:val="6"/>
  </w:num>
  <w:num w:numId="6" w16cid:durableId="1241402817">
    <w:abstractNumId w:val="2"/>
  </w:num>
  <w:num w:numId="7" w16cid:durableId="919607331">
    <w:abstractNumId w:val="13"/>
  </w:num>
  <w:num w:numId="8" w16cid:durableId="101725712">
    <w:abstractNumId w:val="0"/>
  </w:num>
  <w:num w:numId="9" w16cid:durableId="730153745">
    <w:abstractNumId w:val="5"/>
  </w:num>
  <w:num w:numId="10" w16cid:durableId="1911424470">
    <w:abstractNumId w:val="10"/>
  </w:num>
  <w:num w:numId="11" w16cid:durableId="332613973">
    <w:abstractNumId w:val="17"/>
  </w:num>
  <w:num w:numId="12" w16cid:durableId="1379281253">
    <w:abstractNumId w:val="8"/>
  </w:num>
  <w:num w:numId="13" w16cid:durableId="1918858839">
    <w:abstractNumId w:val="7"/>
  </w:num>
  <w:num w:numId="14" w16cid:durableId="1416200166">
    <w:abstractNumId w:val="20"/>
  </w:num>
  <w:num w:numId="15" w16cid:durableId="1317033274">
    <w:abstractNumId w:val="1"/>
  </w:num>
  <w:num w:numId="16" w16cid:durableId="576600152">
    <w:abstractNumId w:val="11"/>
  </w:num>
  <w:num w:numId="17" w16cid:durableId="327171941">
    <w:abstractNumId w:val="12"/>
  </w:num>
  <w:num w:numId="18" w16cid:durableId="246233225">
    <w:abstractNumId w:val="9"/>
  </w:num>
  <w:num w:numId="19" w16cid:durableId="1486240392">
    <w:abstractNumId w:val="15"/>
  </w:num>
  <w:num w:numId="20" w16cid:durableId="1926962868">
    <w:abstractNumId w:val="4"/>
  </w:num>
  <w:num w:numId="21" w16cid:durableId="1650093426">
    <w:abstractNumId w:val="9"/>
  </w:num>
  <w:num w:numId="22" w16cid:durableId="1643655428">
    <w:abstractNumId w:val="16"/>
  </w:num>
  <w:num w:numId="23" w16cid:durableId="550728653">
    <w:abstractNumId w:val="9"/>
  </w:num>
  <w:num w:numId="24" w16cid:durableId="1729064619">
    <w:abstractNumId w:val="16"/>
  </w:num>
  <w:num w:numId="25" w16cid:durableId="1664972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11-21T10:23:52.0612427+01:00&quot;,&quot;Checksum&quot;:&quot;6d75455c5fa36f6725e5d2e825fc9788&quot;,&quot;IsAccessible&quot;:true,&quot;Settings&quot;:{&quot;CreatePdfUa&quot;:2}}"/>
    <w:docVar w:name="Encrypted_CloudStatistics_StoryID" w:val="WG0Ha+y4faHRmweG6DKS1N2SV2HnTAi/hQu751/3SlKnPuwxuQCDWUQjUEP9VKrs"/>
  </w:docVars>
  <w:rsids>
    <w:rsidRoot w:val="000A2518"/>
    <w:rsid w:val="00002FF4"/>
    <w:rsid w:val="00043D3F"/>
    <w:rsid w:val="00044D42"/>
    <w:rsid w:val="000A2518"/>
    <w:rsid w:val="000A591F"/>
    <w:rsid w:val="000D5CF7"/>
    <w:rsid w:val="000E77FC"/>
    <w:rsid w:val="000E7D5C"/>
    <w:rsid w:val="0012431B"/>
    <w:rsid w:val="001342FD"/>
    <w:rsid w:val="0014601B"/>
    <w:rsid w:val="00155437"/>
    <w:rsid w:val="001A0FE9"/>
    <w:rsid w:val="001C2EB8"/>
    <w:rsid w:val="001C5D95"/>
    <w:rsid w:val="001E42DE"/>
    <w:rsid w:val="0020467E"/>
    <w:rsid w:val="0025233F"/>
    <w:rsid w:val="0028070A"/>
    <w:rsid w:val="00294EA6"/>
    <w:rsid w:val="002C4351"/>
    <w:rsid w:val="0036785C"/>
    <w:rsid w:val="003810C1"/>
    <w:rsid w:val="00395F88"/>
    <w:rsid w:val="003D42D7"/>
    <w:rsid w:val="003E6515"/>
    <w:rsid w:val="00522D8A"/>
    <w:rsid w:val="00531AA0"/>
    <w:rsid w:val="00595DE6"/>
    <w:rsid w:val="00597CBC"/>
    <w:rsid w:val="005A32E0"/>
    <w:rsid w:val="00672512"/>
    <w:rsid w:val="006737F8"/>
    <w:rsid w:val="006E6E8E"/>
    <w:rsid w:val="006F2286"/>
    <w:rsid w:val="00701857"/>
    <w:rsid w:val="0075495E"/>
    <w:rsid w:val="00755415"/>
    <w:rsid w:val="007B5FBF"/>
    <w:rsid w:val="008113E2"/>
    <w:rsid w:val="00874965"/>
    <w:rsid w:val="008A2F35"/>
    <w:rsid w:val="0098637A"/>
    <w:rsid w:val="00995114"/>
    <w:rsid w:val="009D6E38"/>
    <w:rsid w:val="00A37DD2"/>
    <w:rsid w:val="00A61779"/>
    <w:rsid w:val="00AC5C4D"/>
    <w:rsid w:val="00B74084"/>
    <w:rsid w:val="00B80237"/>
    <w:rsid w:val="00B96792"/>
    <w:rsid w:val="00BA6BE9"/>
    <w:rsid w:val="00C22ABD"/>
    <w:rsid w:val="00C40E95"/>
    <w:rsid w:val="00C636F8"/>
    <w:rsid w:val="00C83D0B"/>
    <w:rsid w:val="00CA2373"/>
    <w:rsid w:val="00CB1AC3"/>
    <w:rsid w:val="00CB719A"/>
    <w:rsid w:val="00CC3507"/>
    <w:rsid w:val="00D01B25"/>
    <w:rsid w:val="00D228A3"/>
    <w:rsid w:val="00D33603"/>
    <w:rsid w:val="00D36605"/>
    <w:rsid w:val="00D408A5"/>
    <w:rsid w:val="00D42AAF"/>
    <w:rsid w:val="00D613B2"/>
    <w:rsid w:val="00D64F89"/>
    <w:rsid w:val="00DA37D9"/>
    <w:rsid w:val="00DF0E5A"/>
    <w:rsid w:val="00E32CE8"/>
    <w:rsid w:val="00E63A5D"/>
    <w:rsid w:val="00E83FE6"/>
    <w:rsid w:val="00E864F0"/>
    <w:rsid w:val="00E9635F"/>
    <w:rsid w:val="00E965AB"/>
    <w:rsid w:val="00EA1504"/>
    <w:rsid w:val="00EA7F92"/>
    <w:rsid w:val="00ED2E6A"/>
    <w:rsid w:val="00EF027B"/>
    <w:rsid w:val="00F673EA"/>
    <w:rsid w:val="00FB0692"/>
    <w:rsid w:val="00FB6F5D"/>
    <w:rsid w:val="00FE4F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2038"/>
  <w15:chartTrackingRefBased/>
  <w15:docId w15:val="{C36B10C2-8BB1-49DD-9493-1D5D2A64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FD"/>
    <w:pPr>
      <w:spacing w:after="12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qFormat/>
    <w:rsid w:val="000A2518"/>
    <w:pPr>
      <w:keepNext/>
      <w:spacing w:before="240" w:after="60"/>
      <w:outlineLvl w:val="0"/>
    </w:pPr>
    <w:rPr>
      <w:b/>
      <w:bCs/>
      <w:kern w:val="32"/>
      <w:sz w:val="28"/>
      <w:szCs w:val="32"/>
    </w:rPr>
  </w:style>
  <w:style w:type="paragraph" w:styleId="Overskrift2">
    <w:name w:val="heading 2"/>
    <w:basedOn w:val="Normal"/>
    <w:next w:val="Normal"/>
    <w:link w:val="Overskrift2Tegn"/>
    <w:uiPriority w:val="9"/>
    <w:semiHidden/>
    <w:unhideWhenUsed/>
    <w:qFormat/>
    <w:rsid w:val="000A25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A2518"/>
    <w:rPr>
      <w:rFonts w:ascii="Arial" w:eastAsia="Times New Roman" w:hAnsi="Arial" w:cs="Arial"/>
      <w:b/>
      <w:bCs/>
      <w:color w:val="000000"/>
      <w:kern w:val="32"/>
      <w:sz w:val="28"/>
      <w:szCs w:val="32"/>
      <w:lang w:eastAsia="da-DK"/>
    </w:rPr>
  </w:style>
  <w:style w:type="character" w:styleId="Hyperlink">
    <w:name w:val="Hyperlink"/>
    <w:uiPriority w:val="99"/>
    <w:unhideWhenUsed/>
    <w:rsid w:val="000A2518"/>
    <w:rPr>
      <w:color w:val="0000FF"/>
      <w:u w:val="single"/>
    </w:rPr>
  </w:style>
  <w:style w:type="paragraph" w:styleId="Listeafsnit">
    <w:name w:val="List Paragraph"/>
    <w:basedOn w:val="Normal"/>
    <w:uiPriority w:val="34"/>
    <w:qFormat/>
    <w:rsid w:val="000A2518"/>
    <w:pPr>
      <w:ind w:left="720"/>
    </w:pPr>
    <w:rPr>
      <w:rFonts w:ascii="Calibri" w:eastAsia="Calibri" w:hAnsi="Calibri"/>
      <w:sz w:val="20"/>
      <w:szCs w:val="20"/>
      <w:lang w:eastAsia="en-US"/>
    </w:rPr>
  </w:style>
  <w:style w:type="character" w:customStyle="1" w:styleId="O2-indholdTegn">
    <w:name w:val="O2 - indhold Tegn"/>
    <w:basedOn w:val="Standardskrifttypeiafsnit"/>
    <w:link w:val="O2-indhold"/>
    <w:locked/>
    <w:rsid w:val="001342FD"/>
    <w:rPr>
      <w:rFonts w:ascii="Arial" w:eastAsia="Times New Roman" w:hAnsi="Arial" w:cs="Arial"/>
      <w:color w:val="000000"/>
      <w:lang w:eastAsia="da-DK"/>
    </w:rPr>
  </w:style>
  <w:style w:type="paragraph" w:customStyle="1" w:styleId="O2-indhold">
    <w:name w:val="O2 - indhold"/>
    <w:basedOn w:val="Listeafsnit"/>
    <w:link w:val="O2-indholdTegn"/>
    <w:qFormat/>
    <w:rsid w:val="001342FD"/>
    <w:pPr>
      <w:numPr>
        <w:numId w:val="2"/>
      </w:numPr>
    </w:pPr>
    <w:rPr>
      <w:rFonts w:ascii="Arial" w:eastAsia="Times New Roman" w:hAnsi="Arial"/>
      <w:sz w:val="22"/>
      <w:szCs w:val="22"/>
      <w:lang w:eastAsia="da-DK"/>
    </w:rPr>
  </w:style>
  <w:style w:type="character" w:customStyle="1" w:styleId="Overskrift2Tegn">
    <w:name w:val="Overskrift 2 Tegn"/>
    <w:basedOn w:val="Standardskrifttypeiafsnit"/>
    <w:link w:val="Overskrift2"/>
    <w:uiPriority w:val="9"/>
    <w:semiHidden/>
    <w:rsid w:val="000A2518"/>
    <w:rPr>
      <w:rFonts w:asciiTheme="majorHAnsi" w:eastAsiaTheme="majorEastAsia" w:hAnsiTheme="majorHAnsi" w:cstheme="majorBidi"/>
      <w:color w:val="2E74B5" w:themeColor="accent1" w:themeShade="BF"/>
      <w:sz w:val="26"/>
      <w:szCs w:val="26"/>
      <w:lang w:eastAsia="da-DK"/>
    </w:rPr>
  </w:style>
  <w:style w:type="paragraph" w:customStyle="1" w:styleId="ng-scope">
    <w:name w:val="ng-scope"/>
    <w:basedOn w:val="Normal"/>
    <w:rsid w:val="00E864F0"/>
    <w:pPr>
      <w:spacing w:before="100" w:beforeAutospacing="1" w:after="100" w:afterAutospacing="1"/>
      <w:jc w:val="left"/>
    </w:pPr>
    <w:rPr>
      <w:rFonts w:ascii="Times New Roman" w:hAnsi="Times New Roman" w:cs="Times New Roman"/>
      <w:color w:val="auto"/>
      <w:sz w:val="24"/>
      <w:szCs w:val="24"/>
    </w:rPr>
  </w:style>
  <w:style w:type="character" w:styleId="Strk">
    <w:name w:val="Strong"/>
    <w:basedOn w:val="Standardskrifttypeiafsnit"/>
    <w:uiPriority w:val="22"/>
    <w:qFormat/>
    <w:rsid w:val="00E864F0"/>
    <w:rPr>
      <w:b/>
      <w:bCs/>
    </w:rPr>
  </w:style>
  <w:style w:type="paragraph" w:styleId="NormalWeb">
    <w:name w:val="Normal (Web)"/>
    <w:basedOn w:val="Normal"/>
    <w:uiPriority w:val="99"/>
    <w:semiHidden/>
    <w:unhideWhenUsed/>
    <w:rsid w:val="00A61779"/>
    <w:pPr>
      <w:spacing w:before="100" w:beforeAutospacing="1" w:after="100" w:afterAutospacing="1"/>
      <w:jc w:val="left"/>
    </w:pPr>
    <w:rPr>
      <w:rFonts w:ascii="Times New Roman" w:hAnsi="Times New Roman" w:cs="Times New Roman"/>
      <w:color w:val="auto"/>
      <w:sz w:val="24"/>
      <w:szCs w:val="24"/>
    </w:rPr>
  </w:style>
  <w:style w:type="character" w:styleId="BesgtLink">
    <w:name w:val="FollowedHyperlink"/>
    <w:basedOn w:val="Standardskrifttypeiafsnit"/>
    <w:uiPriority w:val="99"/>
    <w:semiHidden/>
    <w:unhideWhenUsed/>
    <w:rsid w:val="00E9635F"/>
    <w:rPr>
      <w:color w:val="954F72" w:themeColor="followedHyperlink"/>
      <w:u w:val="single"/>
    </w:rPr>
  </w:style>
  <w:style w:type="paragraph" w:styleId="Sidehoved">
    <w:name w:val="header"/>
    <w:basedOn w:val="Normal"/>
    <w:link w:val="SidehovedTegn"/>
    <w:uiPriority w:val="99"/>
    <w:unhideWhenUsed/>
    <w:rsid w:val="00002FF4"/>
    <w:pPr>
      <w:tabs>
        <w:tab w:val="center" w:pos="4819"/>
        <w:tab w:val="right" w:pos="9638"/>
      </w:tabs>
      <w:spacing w:after="0"/>
    </w:pPr>
  </w:style>
  <w:style w:type="character" w:customStyle="1" w:styleId="SidehovedTegn">
    <w:name w:val="Sidehoved Tegn"/>
    <w:basedOn w:val="Standardskrifttypeiafsnit"/>
    <w:link w:val="Sidehoved"/>
    <w:uiPriority w:val="99"/>
    <w:rsid w:val="00002FF4"/>
    <w:rPr>
      <w:rFonts w:ascii="Arial" w:eastAsia="Times New Roman" w:hAnsi="Arial" w:cs="Arial"/>
      <w:color w:val="000000"/>
      <w:lang w:eastAsia="da-DK"/>
    </w:rPr>
  </w:style>
  <w:style w:type="paragraph" w:styleId="Sidefod">
    <w:name w:val="footer"/>
    <w:basedOn w:val="Normal"/>
    <w:link w:val="SidefodTegn"/>
    <w:uiPriority w:val="99"/>
    <w:unhideWhenUsed/>
    <w:rsid w:val="00002FF4"/>
    <w:pPr>
      <w:tabs>
        <w:tab w:val="center" w:pos="4819"/>
        <w:tab w:val="right" w:pos="9638"/>
      </w:tabs>
      <w:spacing w:after="0"/>
    </w:pPr>
  </w:style>
  <w:style w:type="character" w:customStyle="1" w:styleId="SidefodTegn">
    <w:name w:val="Sidefod Tegn"/>
    <w:basedOn w:val="Standardskrifttypeiafsnit"/>
    <w:link w:val="Sidefod"/>
    <w:uiPriority w:val="99"/>
    <w:rsid w:val="00002FF4"/>
    <w:rPr>
      <w:rFonts w:ascii="Arial" w:eastAsia="Times New Roman" w:hAnsi="Arial" w:cs="Arial"/>
      <w:color w:val="000000"/>
      <w:lang w:eastAsia="da-DK"/>
    </w:rPr>
  </w:style>
  <w:style w:type="paragraph" w:styleId="Korrektur">
    <w:name w:val="Revision"/>
    <w:hidden/>
    <w:uiPriority w:val="99"/>
    <w:semiHidden/>
    <w:rsid w:val="008113E2"/>
    <w:pPr>
      <w:spacing w:after="0" w:line="240" w:lineRule="auto"/>
    </w:pPr>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676">
      <w:bodyDiv w:val="1"/>
      <w:marLeft w:val="0"/>
      <w:marRight w:val="0"/>
      <w:marTop w:val="0"/>
      <w:marBottom w:val="0"/>
      <w:divBdr>
        <w:top w:val="none" w:sz="0" w:space="0" w:color="auto"/>
        <w:left w:val="none" w:sz="0" w:space="0" w:color="auto"/>
        <w:bottom w:val="none" w:sz="0" w:space="0" w:color="auto"/>
        <w:right w:val="none" w:sz="0" w:space="0" w:color="auto"/>
      </w:divBdr>
    </w:div>
    <w:div w:id="541600371">
      <w:bodyDiv w:val="1"/>
      <w:marLeft w:val="0"/>
      <w:marRight w:val="0"/>
      <w:marTop w:val="0"/>
      <w:marBottom w:val="0"/>
      <w:divBdr>
        <w:top w:val="none" w:sz="0" w:space="0" w:color="auto"/>
        <w:left w:val="none" w:sz="0" w:space="0" w:color="auto"/>
        <w:bottom w:val="none" w:sz="0" w:space="0" w:color="auto"/>
        <w:right w:val="none" w:sz="0" w:space="0" w:color="auto"/>
      </w:divBdr>
    </w:div>
    <w:div w:id="640766882">
      <w:bodyDiv w:val="1"/>
      <w:marLeft w:val="0"/>
      <w:marRight w:val="0"/>
      <w:marTop w:val="0"/>
      <w:marBottom w:val="0"/>
      <w:divBdr>
        <w:top w:val="none" w:sz="0" w:space="0" w:color="auto"/>
        <w:left w:val="none" w:sz="0" w:space="0" w:color="auto"/>
        <w:bottom w:val="none" w:sz="0" w:space="0" w:color="auto"/>
        <w:right w:val="none" w:sz="0" w:space="0" w:color="auto"/>
      </w:divBdr>
    </w:div>
    <w:div w:id="852493862">
      <w:bodyDiv w:val="1"/>
      <w:marLeft w:val="0"/>
      <w:marRight w:val="0"/>
      <w:marTop w:val="0"/>
      <w:marBottom w:val="0"/>
      <w:divBdr>
        <w:top w:val="none" w:sz="0" w:space="0" w:color="auto"/>
        <w:left w:val="none" w:sz="0" w:space="0" w:color="auto"/>
        <w:bottom w:val="none" w:sz="0" w:space="0" w:color="auto"/>
        <w:right w:val="none" w:sz="0" w:space="0" w:color="auto"/>
      </w:divBdr>
    </w:div>
    <w:div w:id="982004158">
      <w:bodyDiv w:val="1"/>
      <w:marLeft w:val="0"/>
      <w:marRight w:val="0"/>
      <w:marTop w:val="0"/>
      <w:marBottom w:val="0"/>
      <w:divBdr>
        <w:top w:val="none" w:sz="0" w:space="0" w:color="auto"/>
        <w:left w:val="none" w:sz="0" w:space="0" w:color="auto"/>
        <w:bottom w:val="none" w:sz="0" w:space="0" w:color="auto"/>
        <w:right w:val="none" w:sz="0" w:space="0" w:color="auto"/>
      </w:divBdr>
    </w:div>
    <w:div w:id="1082065673">
      <w:bodyDiv w:val="1"/>
      <w:marLeft w:val="0"/>
      <w:marRight w:val="0"/>
      <w:marTop w:val="0"/>
      <w:marBottom w:val="0"/>
      <w:divBdr>
        <w:top w:val="none" w:sz="0" w:space="0" w:color="auto"/>
        <w:left w:val="none" w:sz="0" w:space="0" w:color="auto"/>
        <w:bottom w:val="none" w:sz="0" w:space="0" w:color="auto"/>
        <w:right w:val="none" w:sz="0" w:space="0" w:color="auto"/>
      </w:divBdr>
    </w:div>
    <w:div w:id="1225145234">
      <w:bodyDiv w:val="1"/>
      <w:marLeft w:val="0"/>
      <w:marRight w:val="0"/>
      <w:marTop w:val="0"/>
      <w:marBottom w:val="0"/>
      <w:divBdr>
        <w:top w:val="none" w:sz="0" w:space="0" w:color="auto"/>
        <w:left w:val="none" w:sz="0" w:space="0" w:color="auto"/>
        <w:bottom w:val="none" w:sz="0" w:space="0" w:color="auto"/>
        <w:right w:val="none" w:sz="0" w:space="0" w:color="auto"/>
      </w:divBdr>
    </w:div>
    <w:div w:id="1323965323">
      <w:bodyDiv w:val="1"/>
      <w:marLeft w:val="0"/>
      <w:marRight w:val="0"/>
      <w:marTop w:val="0"/>
      <w:marBottom w:val="0"/>
      <w:divBdr>
        <w:top w:val="none" w:sz="0" w:space="0" w:color="auto"/>
        <w:left w:val="none" w:sz="0" w:space="0" w:color="auto"/>
        <w:bottom w:val="none" w:sz="0" w:space="0" w:color="auto"/>
        <w:right w:val="none" w:sz="0" w:space="0" w:color="auto"/>
      </w:divBdr>
    </w:div>
    <w:div w:id="1439375750">
      <w:bodyDiv w:val="1"/>
      <w:marLeft w:val="0"/>
      <w:marRight w:val="0"/>
      <w:marTop w:val="0"/>
      <w:marBottom w:val="0"/>
      <w:divBdr>
        <w:top w:val="none" w:sz="0" w:space="0" w:color="auto"/>
        <w:left w:val="none" w:sz="0" w:space="0" w:color="auto"/>
        <w:bottom w:val="none" w:sz="0" w:space="0" w:color="auto"/>
        <w:right w:val="none" w:sz="0" w:space="0" w:color="auto"/>
      </w:divBdr>
    </w:div>
    <w:div w:id="1495418017">
      <w:bodyDiv w:val="1"/>
      <w:marLeft w:val="0"/>
      <w:marRight w:val="0"/>
      <w:marTop w:val="0"/>
      <w:marBottom w:val="0"/>
      <w:divBdr>
        <w:top w:val="none" w:sz="0" w:space="0" w:color="auto"/>
        <w:left w:val="none" w:sz="0" w:space="0" w:color="auto"/>
        <w:bottom w:val="none" w:sz="0" w:space="0" w:color="auto"/>
        <w:right w:val="none" w:sz="0" w:space="0" w:color="auto"/>
      </w:divBdr>
    </w:div>
    <w:div w:id="1526675747">
      <w:bodyDiv w:val="1"/>
      <w:marLeft w:val="0"/>
      <w:marRight w:val="0"/>
      <w:marTop w:val="0"/>
      <w:marBottom w:val="0"/>
      <w:divBdr>
        <w:top w:val="none" w:sz="0" w:space="0" w:color="auto"/>
        <w:left w:val="none" w:sz="0" w:space="0" w:color="auto"/>
        <w:bottom w:val="none" w:sz="0" w:space="0" w:color="auto"/>
        <w:right w:val="none" w:sz="0" w:space="0" w:color="auto"/>
      </w:divBdr>
    </w:div>
    <w:div w:id="1574007478">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sChild>
        <w:div w:id="1696153410">
          <w:marLeft w:val="0"/>
          <w:marRight w:val="0"/>
          <w:marTop w:val="0"/>
          <w:marBottom w:val="360"/>
          <w:divBdr>
            <w:top w:val="none" w:sz="0" w:space="0" w:color="auto"/>
            <w:left w:val="none" w:sz="0" w:space="0" w:color="auto"/>
            <w:bottom w:val="none" w:sz="0" w:space="0" w:color="auto"/>
            <w:right w:val="none" w:sz="0" w:space="0" w:color="auto"/>
          </w:divBdr>
          <w:divsChild>
            <w:div w:id="2347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7270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eger.dk/media/yzkj2yvr/pixinye_ydelser_i_almen_praksis_ok2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AC6E.FAF39B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C7DB-17A8-4CCF-9787-308A9E89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1288</Words>
  <Characters>7858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Instruks – Sundhedstjek til borgere over 18 år med betydelig og varig nedsat fysisk og psykisk funktionsevne, som opholder sig på et botilbud, bofællesskab eller lignende</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Sundhedstjek til borgere over 18 år med betydelig og varig nedsat fysisk og psykisk funktionsevne, som opholder sig på et botilbud, bofællesskab eller lignende</dc:title>
  <dc:subject/>
  <dc:creator>Ghita Marianne Steenholt</dc:creator>
  <cp:keywords/>
  <dc:description/>
  <cp:lastModifiedBy>Lise Suhr Pedersen</cp:lastModifiedBy>
  <cp:revision>7</cp:revision>
  <dcterms:created xsi:type="dcterms:W3CDTF">2024-06-18T07:55:00Z</dcterms:created>
  <dcterms:modified xsi:type="dcterms:W3CDTF">2024-08-16T11:55:00Z</dcterms:modified>
</cp:coreProperties>
</file>