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19" w:rsidRDefault="00EC3B19" w:rsidP="00EC3B19">
      <w:pPr>
        <w:rPr>
          <w:b/>
          <w:bCs/>
          <w:sz w:val="24"/>
          <w:szCs w:val="24"/>
        </w:rPr>
      </w:pPr>
      <w:r w:rsidRPr="00EC3B19">
        <w:rPr>
          <w:rStyle w:val="Overskrift2Tegn"/>
        </w:rPr>
        <w:t xml:space="preserve">Følgende fordringer har fortrinsret i ejendommen. </w:t>
      </w:r>
      <w:bookmarkStart w:id="0" w:name="_GoBack"/>
      <w:bookmarkEnd w:id="0"/>
      <w:r w:rsidRPr="00EC3B19">
        <w:rPr>
          <w:rStyle w:val="Overskrift2Tegn"/>
        </w:rPr>
        <w:br/>
      </w:r>
      <w:r>
        <w:rPr>
          <w:b/>
          <w:bCs/>
          <w:sz w:val="24"/>
          <w:szCs w:val="24"/>
        </w:rPr>
        <w:t>Disse krav bliver ikke sendt til inddrivelse ved Gældsstyrelsen, der står vi selv/Betalingskontoret</w:t>
      </w:r>
      <w:r>
        <w:rPr>
          <w:b/>
          <w:bCs/>
          <w:sz w:val="24"/>
          <w:szCs w:val="24"/>
        </w:rPr>
        <w:t xml:space="preserve"> for inddrivelsen =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Ingen fordringstype er nødvendig:</w:t>
      </w:r>
    </w:p>
    <w:p w:rsidR="00EC3B19" w:rsidRDefault="00EC3B19" w:rsidP="00EC3B19">
      <w:pPr>
        <w:rPr>
          <w:b/>
          <w:bCs/>
        </w:rPr>
      </w:pP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Ejendomsskat, jf. tinglysningslovens § 4, stk. 1 og ejendomsbeskatningslovens § 29.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Vand – vedligeholdelse, jf. tinglysningslovens § 4, stk. 2 og 3.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Spildevand – vedligeholdelse, jf. tinglysningslovens § 4, stk. 2 og 3.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Vej og fortov – anlæg, jf. vejloven, offentlige veje § 138 og lov om private fællesveje § 100, stk. 1.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Vej og fortov – vedligeholdelse, jf. tinglysningslovens § 4, stk. 2 og 3 og lov om private fællesveje § 100, stk. 1.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Vej – renholdelse, snerydning mv., jf. tinglysningslovens § 4, stk. 2 og 3.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El, gas og varme – vedligeholdelse, jf. tinglysningslovens § 4, stk. 2 og 3.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Vandløb – forskudsvis afholdte udgifter, jf. vandløbslovens § 65, stk. 1.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Bortskaffelse af affald – husholdninger, jf. miljøbeskyttelseslovens § 48, stk. 6.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Rottebekæmpelse – forskudsvis afholdte udgifter, jf. miljøbeskyttelseslovens § 17, stk. 5.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Rottebekæmpelse, årligt gebyr, jf. miljøbeskyttelseslovens § 18, stk. 3.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Gebyrer, beløb som er forskudsvis udredt – byggetilladelse, jf. byggelovens § 29.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Skorstensfejning og brandpræventivt tilsyn – forskudsvis afholdte udgifter, jf. skorstensbekendtgørelsen, § 14, stk. 2.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Brandsikring – gennemført på ejerens bekostning, jf. lov om brandsikring af ældre beboelsesbygninger, § 15, stk. 2.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Indbetaling til Grundejernes Investeringsfond, jf. boligreguleringslovens § 22a, stk. 6.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Kommunens pligt til at sørge for el, vand og varme i en udlejningsejendom, når udlejer forsømmer sin pligt, jf. lejelovens § 46b, stk. 4.</w:t>
      </w:r>
    </w:p>
    <w:p w:rsidR="00EC3B19" w:rsidRDefault="00EC3B19" w:rsidP="00EC3B19">
      <w:pPr>
        <w:pStyle w:val="Listeafsnit"/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Vejbelysning, jf. lov om private fællesveje § 100, stk. 1 og 2.</w:t>
      </w:r>
    </w:p>
    <w:p w:rsidR="004E20F1" w:rsidRPr="006378A5" w:rsidRDefault="004E20F1" w:rsidP="006378A5"/>
    <w:sectPr w:rsidR="004E20F1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40E18"/>
    <w:multiLevelType w:val="hybridMultilevel"/>
    <w:tmpl w:val="F53CA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19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C3B19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E8DC-CED5-466F-8BBC-15115CB1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19"/>
    <w:pPr>
      <w:spacing w:after="0" w:line="240" w:lineRule="auto"/>
    </w:pPr>
    <w:rPr>
      <w:rFonts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9375-91D3-4933-9F80-97857E00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2022-02-23T06:43:00Z</dcterms:created>
  <dcterms:modified xsi:type="dcterms:W3CDTF">2022-02-23T06:48:00Z</dcterms:modified>
</cp:coreProperties>
</file>