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20" w:rsidRPr="00F8434F" w:rsidRDefault="00220020">
      <w:pPr>
        <w:pStyle w:val="NormalWeb"/>
        <w:spacing w:before="0" w:beforeAutospacing="0" w:after="0" w:afterAutospacing="0"/>
        <w:rPr>
          <w:rFonts w:ascii="Calibri Light" w:hAnsi="Calibri Light" w:cs="Calibri Light"/>
          <w:sz w:val="32"/>
          <w:szCs w:val="32"/>
        </w:rPr>
      </w:pPr>
      <w:bookmarkStart w:id="0" w:name="_GoBack"/>
      <w:bookmarkEnd w:id="0"/>
      <w:r w:rsidRPr="00F8434F">
        <w:rPr>
          <w:rFonts w:ascii="Calibri Light" w:hAnsi="Calibri Light" w:cs="Calibri Light"/>
          <w:sz w:val="32"/>
          <w:szCs w:val="32"/>
        </w:rPr>
        <w:t xml:space="preserve">Praktikmål - hjælpeskema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b/>
          <w:bCs/>
          <w:sz w:val="20"/>
          <w:szCs w:val="20"/>
        </w:rPr>
        <w:t>Praktik 2 – Psykiatrisk sygepleje og rehabilitering i det sammenhængende sundhedsvæsen.</w:t>
      </w:r>
      <w:r w:rsidRPr="00F8434F">
        <w:rPr>
          <w:rFonts w:ascii="Verdana" w:hAnsi="Verdana" w:cs="Calibri"/>
          <w:sz w:val="20"/>
          <w:szCs w:val="20"/>
        </w:rPr>
        <w:t xml:space="preserve">  </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sz w:val="20"/>
          <w:szCs w:val="20"/>
        </w:rPr>
        <w:t> </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sz w:val="20"/>
          <w:szCs w:val="20"/>
        </w:rPr>
        <w:t>I slutningen af praktik 2 bedømmer praktikvejlederen om praktikperiode 2 er godkendt eller ikke godkendt. Dette gøres ved hjælp af PASS skemaet).</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sz w:val="20"/>
          <w:szCs w:val="20"/>
        </w:rPr>
        <w:t> </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sz w:val="20"/>
          <w:szCs w:val="20"/>
        </w:rPr>
        <w:t>Se siden med "Evaluering, vurdering og bedømmelse" i "Generelt" sektionen for mere uddybning af dette.</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sz w:val="20"/>
          <w:szCs w:val="20"/>
        </w:rPr>
        <w:t> </w:t>
      </w:r>
    </w:p>
    <w:p w:rsidR="00220020" w:rsidRPr="00F8434F" w:rsidRDefault="00220020">
      <w:pPr>
        <w:pStyle w:val="NormalWeb"/>
        <w:spacing w:before="0" w:beforeAutospacing="0" w:after="0" w:afterAutospacing="0"/>
        <w:rPr>
          <w:rFonts w:ascii="Verdana" w:hAnsi="Verdana" w:cs="Calibri"/>
          <w:sz w:val="20"/>
          <w:szCs w:val="20"/>
        </w:rPr>
      </w:pPr>
      <w:r w:rsidRPr="00F8434F">
        <w:rPr>
          <w:rFonts w:ascii="Verdana" w:hAnsi="Verdana" w:cs="Calibri"/>
          <w:sz w:val="20"/>
          <w:szCs w:val="20"/>
        </w:rPr>
        <w:t xml:space="preserve">I skemaet med praktikmålene, fremgår det med </w:t>
      </w:r>
      <w:r w:rsidRPr="00F8434F">
        <w:rPr>
          <w:rFonts w:ascii="Verdana" w:hAnsi="Verdana" w:cs="Calibri"/>
          <w:color w:val="FF0000"/>
          <w:sz w:val="20"/>
          <w:szCs w:val="20"/>
        </w:rPr>
        <w:t>rødt</w:t>
      </w:r>
      <w:r w:rsidRPr="00F8434F">
        <w:rPr>
          <w:rFonts w:ascii="Verdana" w:hAnsi="Verdana" w:cs="Calibri"/>
          <w:sz w:val="20"/>
          <w:szCs w:val="20"/>
        </w:rPr>
        <w:t>, når et praktikmål er særligt i fokus i denne praktik.</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160" w:afterAutospacing="0"/>
        <w:rPr>
          <w:rFonts w:ascii="Verdana" w:hAnsi="Verdana" w:cs="Calibri"/>
          <w:sz w:val="20"/>
          <w:szCs w:val="20"/>
        </w:rPr>
      </w:pPr>
      <w:r w:rsidRPr="00F8434F">
        <w:rPr>
          <w:rFonts w:ascii="Verdana" w:hAnsi="Verdana" w:cs="Calibri"/>
          <w:b/>
          <w:bCs/>
          <w:sz w:val="28"/>
          <w:szCs w:val="28"/>
        </w:rPr>
        <w:t>Praktik 2</w:t>
      </w:r>
      <w:r w:rsidRPr="00F8434F">
        <w:rPr>
          <w:rFonts w:ascii="Verdana" w:hAnsi="Verdana" w:cs="Calibri"/>
          <w:sz w:val="20"/>
          <w:szCs w:val="20"/>
        </w:rPr>
        <w:t xml:space="preserve">    </w:t>
      </w:r>
      <w:r w:rsidRPr="00F8434F">
        <w:rPr>
          <w:rFonts w:ascii="Verdana" w:hAnsi="Verdana" w:cs="Calibri"/>
          <w:b/>
          <w:bCs/>
          <w:sz w:val="22"/>
          <w:szCs w:val="22"/>
        </w:rPr>
        <w:t xml:space="preserve">      Forventet niveau               Bemærkninger</w:t>
      </w:r>
    </w:p>
    <w:tbl>
      <w:tblPr>
        <w:tblW w:w="11646" w:type="dxa"/>
        <w:tblInd w:w="-100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59"/>
        <w:gridCol w:w="1970"/>
        <w:gridCol w:w="1777"/>
        <w:gridCol w:w="1279"/>
        <w:gridCol w:w="1554"/>
        <w:gridCol w:w="1169"/>
        <w:gridCol w:w="690"/>
        <w:gridCol w:w="1048"/>
      </w:tblGrid>
      <w:tr w:rsidR="00220020" w:rsidRPr="00F8434F" w:rsidTr="00F8434F">
        <w:trPr>
          <w:divId w:val="1466237909"/>
        </w:trPr>
        <w:tc>
          <w:tcPr>
            <w:tcW w:w="215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197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177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27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554"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16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69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048"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rsidTr="00F8434F">
        <w:trPr>
          <w:divId w:val="1466237909"/>
        </w:trPr>
        <w:tc>
          <w:tcPr>
            <w:tcW w:w="21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 </w:t>
            </w:r>
            <w:r w:rsidRPr="00F8434F">
              <w:rPr>
                <w:rFonts w:ascii="Verdana" w:hAnsi="Verdana"/>
                <w:color w:val="FF0000"/>
                <w:sz w:val="16"/>
                <w:szCs w:val="16"/>
              </w:rPr>
              <w:t xml:space="preserve">Eleven kan gennemføre og reflektere over kliniske sygeplejehandlinger, herunder selvstændigt anvende sygeplejeprocessen til at indsamle data, identificere, analysere, planlægge, udføre og evaluere sygepleje til borgere/patienter med grundlæggende behov.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xml:space="preserve"> </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De 12 sygeplejefaglige problemområder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Sygeplejeteorier Orlando, Henderson, </w:t>
            </w:r>
            <w:proofErr w:type="spellStart"/>
            <w:r w:rsidRPr="00F8434F">
              <w:rPr>
                <w:rFonts w:ascii="Verdana" w:hAnsi="Verdana"/>
                <w:sz w:val="16"/>
                <w:szCs w:val="16"/>
              </w:rPr>
              <w:t>Orem</w:t>
            </w:r>
            <w:proofErr w:type="spellEnd"/>
            <w:r w:rsidRPr="00F8434F">
              <w:rPr>
                <w:rFonts w:ascii="Verdana" w:hAnsi="Verdana"/>
                <w:sz w:val="16"/>
                <w:szCs w:val="16"/>
              </w:rPr>
              <w:t xml:space="preserve"> og Martinsen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Fordøjelse, udskillelse og ernæring</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Gerontologi og hjertekredsløb</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Hormonsystemet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Nyrer - urinveje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Respirationsorganerne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Nervesystemet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Sygepleje af borgere med psykiatrisk diagnose inkl. demens</w:t>
            </w:r>
          </w:p>
        </w:tc>
        <w:tc>
          <w:tcPr>
            <w:tcW w:w="17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1,2,4,6,11,13</w:t>
            </w:r>
          </w:p>
        </w:tc>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 </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X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I forhold til enkle ukomplicerede situationer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 </w:t>
            </w:r>
          </w:p>
        </w:tc>
        <w:tc>
          <w:tcPr>
            <w:tcW w:w="1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 </w:t>
            </w:r>
          </w:p>
        </w:tc>
        <w:tc>
          <w:tcPr>
            <w:tcW w:w="6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 </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10937" w:type="dxa"/>
        <w:tblInd w:w="-64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05"/>
        <w:gridCol w:w="1752"/>
        <w:gridCol w:w="1776"/>
        <w:gridCol w:w="1115"/>
        <w:gridCol w:w="1089"/>
        <w:gridCol w:w="1169"/>
        <w:gridCol w:w="579"/>
        <w:gridCol w:w="1652"/>
      </w:tblGrid>
      <w:tr w:rsidR="00220020" w:rsidRPr="00F8434F" w:rsidTr="00F8434F">
        <w:trPr>
          <w:divId w:val="2111586761"/>
        </w:trPr>
        <w:tc>
          <w:tcPr>
            <w:tcW w:w="18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175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177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11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08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16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57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65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rsidTr="00F8434F">
        <w:trPr>
          <w:divId w:val="2111586761"/>
        </w:trPr>
        <w:tc>
          <w:tcPr>
            <w:tcW w:w="18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2. Eleven kan planlægge og iværksætte sundhedsfaglige handlinger på baggrund af faglige og kliniske vurderinger, herunder sundhedsstyrelsens screeningsværktøjer til tidlig opsporing samt lokale procedurer og retningslinjer.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 </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Ernæringsscreening</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Søge information på sundhedsstyrelsens hjemmeside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TOBS og dokumentation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Socialpædagogisk tilgang og metoder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1,4,11</w:t>
            </w:r>
          </w:p>
        </w:tc>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0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5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6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Obs på TOKS i regionspsykiatrien</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 </w:t>
      </w:r>
    </w:p>
    <w:tbl>
      <w:tblPr>
        <w:tblW w:w="10848" w:type="dxa"/>
        <w:tblInd w:w="-60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84"/>
        <w:gridCol w:w="2248"/>
        <w:gridCol w:w="1776"/>
        <w:gridCol w:w="1115"/>
        <w:gridCol w:w="1089"/>
        <w:gridCol w:w="1169"/>
        <w:gridCol w:w="579"/>
        <w:gridCol w:w="988"/>
      </w:tblGrid>
      <w:tr w:rsidR="00220020" w:rsidRPr="00F8434F" w:rsidTr="00F8434F">
        <w:trPr>
          <w:divId w:val="1167359065"/>
        </w:trPr>
        <w:tc>
          <w:tcPr>
            <w:tcW w:w="1884"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2248"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177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11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08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16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57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988"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rsidTr="00F8434F">
        <w:trPr>
          <w:divId w:val="1167359065"/>
        </w:trPr>
        <w:tc>
          <w:tcPr>
            <w:tcW w:w="18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sz w:val="21"/>
                <w:szCs w:val="21"/>
              </w:rPr>
            </w:pPr>
            <w:r w:rsidRPr="00F8434F">
              <w:rPr>
                <w:rFonts w:ascii="Calibri" w:hAnsi="Calibri" w:cs="Calibri"/>
                <w:color w:val="FF0000"/>
                <w:sz w:val="20"/>
                <w:szCs w:val="20"/>
              </w:rPr>
              <w:t xml:space="preserve">3. </w:t>
            </w:r>
            <w:r w:rsidRPr="00F8434F">
              <w:rPr>
                <w:rFonts w:ascii="Verdana" w:hAnsi="Verdana"/>
                <w:color w:val="FF0000"/>
                <w:sz w:val="16"/>
                <w:szCs w:val="16"/>
              </w:rPr>
              <w:t xml:space="preserve">Eleven kan selvstændigt identificere og reagere på ændring i borgerens/patientens sundhedstilstand. Ved uforudsete og komplekse problemstillinger kan eleven udføre sygeplejehandlinger inden for eget kompetenceområde </w:t>
            </w:r>
            <w:r w:rsidRPr="00F8434F">
              <w:rPr>
                <w:rFonts w:ascii="Verdana" w:hAnsi="Verdana"/>
                <w:sz w:val="16"/>
                <w:szCs w:val="16"/>
              </w:rPr>
              <w:t xml:space="preserve">samt delegerede sygeplejehandlinger, herunder udføre palliativ pleje.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w:t>
            </w:r>
            <w:proofErr w:type="gramStart"/>
            <w:r w:rsidRPr="00F8434F">
              <w:rPr>
                <w:rFonts w:ascii="Verdana" w:hAnsi="Verdana"/>
                <w:sz w:val="16"/>
                <w:szCs w:val="16"/>
              </w:rPr>
              <w:t>vente</w:t>
            </w:r>
            <w:proofErr w:type="gramEnd"/>
            <w:r w:rsidRPr="00F8434F">
              <w:rPr>
                <w:rFonts w:ascii="Verdana" w:hAnsi="Verdana"/>
                <w:sz w:val="16"/>
                <w:szCs w:val="16"/>
              </w:rPr>
              <w:t xml:space="preserve"> til 3. praktik)</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22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Grundlæggende viden om fordøjelsessystemet, hjertekredsløb, diabetes, nyrer- urinveje, respirationsorganerne, nervesystemet, gerontologi.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TOBS</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Gerontopsykiatri</w:t>
            </w:r>
            <w:proofErr w:type="spellEnd"/>
            <w:r w:rsidRPr="00F8434F">
              <w:rPr>
                <w:rFonts w:ascii="Verdana" w:hAnsi="Verdana"/>
                <w:sz w:val="16"/>
                <w:szCs w:val="16"/>
              </w:rPr>
              <w:t xml:space="preserve"> herunder demens former, skizofreni, affektive sindslidelse, dobbeltdiagnose, personlighedsforstyrrelse.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Grundlæggende sygepleje til en borger med kateter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sz w:val="21"/>
                <w:szCs w:val="21"/>
              </w:rPr>
            </w:pPr>
            <w:r w:rsidRPr="00F8434F">
              <w:rPr>
                <w:rFonts w:ascii="Verdana" w:hAnsi="Verdana"/>
                <w:sz w:val="16"/>
                <w:szCs w:val="16"/>
              </w:rPr>
              <w:t>Viden om grundlæggende hygiejne</w:t>
            </w: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Viden om </w:t>
            </w:r>
            <w:proofErr w:type="spellStart"/>
            <w:r w:rsidRPr="00F8434F">
              <w:rPr>
                <w:rFonts w:ascii="Verdana" w:hAnsi="Verdana"/>
                <w:sz w:val="16"/>
                <w:szCs w:val="16"/>
              </w:rPr>
              <w:t>farmakodynamik</w:t>
            </w:r>
            <w:proofErr w:type="spellEnd"/>
            <w:r w:rsidRPr="00F8434F">
              <w:rPr>
                <w:rFonts w:ascii="Verdana" w:hAnsi="Verdana"/>
                <w:sz w:val="16"/>
                <w:szCs w:val="16"/>
              </w:rPr>
              <w:t xml:space="preserve"> og </w:t>
            </w:r>
            <w:proofErr w:type="spellStart"/>
            <w:r w:rsidRPr="00F8434F">
              <w:rPr>
                <w:rFonts w:ascii="Verdana" w:hAnsi="Verdana"/>
                <w:sz w:val="16"/>
                <w:szCs w:val="16"/>
              </w:rPr>
              <w:t>farmakokinetik</w:t>
            </w:r>
            <w:proofErr w:type="spellEnd"/>
            <w:r w:rsidRPr="00F8434F">
              <w:rPr>
                <w:rFonts w:ascii="Verdana" w:hAnsi="Verdana"/>
                <w:sz w:val="16"/>
                <w:szCs w:val="16"/>
              </w:rPr>
              <w: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Observation af virkning og bivirkning af lægemidler: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Laksantia</w:t>
            </w:r>
            <w:proofErr w:type="spellEnd"/>
            <w:r w:rsidRPr="00F8434F">
              <w:rPr>
                <w:rFonts w:ascii="Verdana" w:hAnsi="Verdana"/>
                <w:sz w:val="16"/>
                <w:szCs w:val="16"/>
              </w:rPr>
              <w:t xml:space="preserve">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Insulin og </w:t>
            </w:r>
            <w:proofErr w:type="spellStart"/>
            <w:r w:rsidRPr="00F8434F">
              <w:rPr>
                <w:rFonts w:ascii="Verdana" w:hAnsi="Verdana"/>
                <w:sz w:val="16"/>
                <w:szCs w:val="16"/>
              </w:rPr>
              <w:t>antidiabetika</w:t>
            </w:r>
            <w:proofErr w:type="spellEnd"/>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Antipsykotika</w:t>
            </w:r>
            <w:proofErr w:type="spellEnd"/>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Antidepressiva</w:t>
            </w:r>
            <w:proofErr w:type="spellEnd"/>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Hypnotika</w:t>
            </w:r>
            <w:proofErr w:type="spellEnd"/>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Benzodiazepiner</w:t>
            </w:r>
            <w:proofErr w:type="spellEnd"/>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Alzheimer medicin</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Analgetika</w:t>
            </w:r>
            <w:proofErr w:type="spellEnd"/>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Polyfarmaci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 </w:t>
            </w: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Naturfaglig viden </w:t>
            </w:r>
            <w:proofErr w:type="gramStart"/>
            <w:r w:rsidRPr="00F8434F">
              <w:rPr>
                <w:rFonts w:ascii="Verdana" w:hAnsi="Verdana"/>
                <w:sz w:val="16"/>
                <w:szCs w:val="16"/>
              </w:rPr>
              <w:t>om  syre</w:t>
            </w:r>
            <w:proofErr w:type="gramEnd"/>
            <w:r w:rsidRPr="00F8434F">
              <w:rPr>
                <w:rFonts w:ascii="Verdana" w:hAnsi="Verdana"/>
                <w:sz w:val="16"/>
                <w:szCs w:val="16"/>
              </w:rPr>
              <w:t xml:space="preserve">/basebalance, </w:t>
            </w:r>
            <w:proofErr w:type="spellStart"/>
            <w:r w:rsidRPr="00F8434F">
              <w:rPr>
                <w:rFonts w:ascii="Verdana" w:hAnsi="Verdana"/>
                <w:sz w:val="16"/>
                <w:szCs w:val="16"/>
              </w:rPr>
              <w:t>synapsespalte</w:t>
            </w:r>
            <w:proofErr w:type="spellEnd"/>
            <w:r w:rsidRPr="00F8434F">
              <w:rPr>
                <w:rFonts w:ascii="Verdana" w:hAnsi="Verdana"/>
                <w:sz w:val="16"/>
                <w:szCs w:val="16"/>
              </w:rPr>
              <w:t xml:space="preserve"> og signalstoffer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Førstehjælp, generhvervelse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EUD elever har valgfrit </w:t>
            </w:r>
            <w:proofErr w:type="spellStart"/>
            <w:r w:rsidRPr="00F8434F">
              <w:rPr>
                <w:rFonts w:ascii="Verdana" w:hAnsi="Verdana"/>
                <w:sz w:val="16"/>
                <w:szCs w:val="16"/>
              </w:rPr>
              <w:t>udd</w:t>
            </w:r>
            <w:proofErr w:type="spellEnd"/>
            <w:r w:rsidRPr="00F8434F">
              <w:rPr>
                <w:rFonts w:ascii="Verdana" w:hAnsi="Verdana"/>
                <w:sz w:val="16"/>
                <w:szCs w:val="16"/>
              </w:rPr>
              <w:t>. Specifikt fag:</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Assistentens opgaver i forbindelse med livets afslutning</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 </w:t>
            </w:r>
          </w:p>
        </w:tc>
        <w:tc>
          <w:tcPr>
            <w:tcW w:w="1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1,2,3,4</w:t>
            </w:r>
          </w:p>
        </w:tc>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0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5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84"/>
        <w:gridCol w:w="2041"/>
        <w:gridCol w:w="1776"/>
        <w:gridCol w:w="1115"/>
        <w:gridCol w:w="1089"/>
        <w:gridCol w:w="1169"/>
        <w:gridCol w:w="579"/>
        <w:gridCol w:w="988"/>
      </w:tblGrid>
      <w:tr w:rsidR="00220020" w:rsidRPr="00F8434F">
        <w:trPr>
          <w:divId w:val="1450585510"/>
        </w:trPr>
        <w:tc>
          <w:tcPr>
            <w:tcW w:w="371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6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1450585510"/>
        </w:trPr>
        <w:tc>
          <w:tcPr>
            <w:tcW w:w="3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4. </w:t>
            </w:r>
            <w:r w:rsidRPr="00F8434F">
              <w:rPr>
                <w:rFonts w:ascii="Verdana" w:hAnsi="Verdana"/>
                <w:color w:val="FF0000"/>
                <w:sz w:val="16"/>
                <w:szCs w:val="16"/>
              </w:rPr>
              <w:t xml:space="preserve">Eleven kan ud fra </w:t>
            </w:r>
            <w:r w:rsidRPr="00F8434F">
              <w:rPr>
                <w:rFonts w:ascii="Verdana" w:hAnsi="Verdana"/>
                <w:color w:val="FF0000"/>
                <w:sz w:val="16"/>
                <w:szCs w:val="16"/>
              </w:rPr>
              <w:lastRenderedPageBreak/>
              <w:t xml:space="preserve">en helhedsorienteret tilgang, der understøtter borgerens/patientens </w:t>
            </w:r>
            <w:proofErr w:type="spellStart"/>
            <w:r w:rsidRPr="00F8434F">
              <w:rPr>
                <w:rFonts w:ascii="Verdana" w:hAnsi="Verdana"/>
                <w:color w:val="FF0000"/>
                <w:sz w:val="16"/>
                <w:szCs w:val="16"/>
              </w:rPr>
              <w:t>mestring</w:t>
            </w:r>
            <w:proofErr w:type="spellEnd"/>
            <w:r w:rsidRPr="00F8434F">
              <w:rPr>
                <w:rFonts w:ascii="Verdana" w:hAnsi="Verdana"/>
                <w:color w:val="FF0000"/>
                <w:sz w:val="16"/>
                <w:szCs w:val="16"/>
              </w:rPr>
              <w:t xml:space="preserve"> af eget liv, selvstændigt og i samarbejde med borgeren/patienten og pårørende arbejde med rehabilitering og </w:t>
            </w:r>
            <w:proofErr w:type="spellStart"/>
            <w:r w:rsidRPr="00F8434F">
              <w:rPr>
                <w:rFonts w:ascii="Verdana" w:hAnsi="Verdana"/>
                <w:color w:val="FF0000"/>
                <w:sz w:val="16"/>
                <w:szCs w:val="16"/>
              </w:rPr>
              <w:t>recovery</w:t>
            </w:r>
            <w:proofErr w:type="spellEnd"/>
            <w:r w:rsidRPr="00F8434F">
              <w:rPr>
                <w:rFonts w:ascii="Verdana" w:hAnsi="Verdana"/>
                <w:color w:val="FF0000"/>
                <w:sz w:val="16"/>
                <w:szCs w:val="16"/>
              </w:rPr>
              <w:t xml:space="preserve">.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32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lastRenderedPageBreak/>
              <w:t xml:space="preserve">Livshistorie og </w:t>
            </w:r>
            <w:r w:rsidRPr="00F8434F">
              <w:rPr>
                <w:rFonts w:ascii="Verdana" w:hAnsi="Verdana"/>
                <w:sz w:val="16"/>
                <w:szCs w:val="16"/>
              </w:rPr>
              <w:lastRenderedPageBreak/>
              <w:t>livsformers betydning for hverdagslivet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i/>
                <w:iCs/>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Funktionsevnebegrebet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i/>
                <w:iCs/>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Kommunikation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Recovery og </w:t>
            </w:r>
            <w:proofErr w:type="spellStart"/>
            <w:r w:rsidRPr="00F8434F">
              <w:rPr>
                <w:rFonts w:ascii="Verdana" w:hAnsi="Verdana"/>
                <w:sz w:val="16"/>
                <w:szCs w:val="16"/>
              </w:rPr>
              <w:t>psykoeducation</w:t>
            </w:r>
            <w:proofErr w:type="spellEnd"/>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Jeg-støtte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Kognitiv tilgang</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Mestring</w:t>
            </w:r>
            <w:proofErr w:type="spellEnd"/>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Samarbejde og støtte af pårørende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2,5,6,</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r w:rsidR="00220020" w:rsidRPr="00F8434F">
        <w:trPr>
          <w:divId w:val="1450585510"/>
        </w:trPr>
        <w:tc>
          <w:tcPr>
            <w:tcW w:w="37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32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7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48"/>
        <w:gridCol w:w="1670"/>
        <w:gridCol w:w="1776"/>
        <w:gridCol w:w="1115"/>
        <w:gridCol w:w="1089"/>
        <w:gridCol w:w="1169"/>
        <w:gridCol w:w="579"/>
        <w:gridCol w:w="988"/>
      </w:tblGrid>
      <w:tr w:rsidR="00220020" w:rsidRPr="00F8434F">
        <w:trPr>
          <w:divId w:val="1490516448"/>
        </w:trPr>
        <w:tc>
          <w:tcPr>
            <w:tcW w:w="371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6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08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1490516448"/>
        </w:trPr>
        <w:tc>
          <w:tcPr>
            <w:tcW w:w="3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5.</w:t>
            </w:r>
            <w:r w:rsidRPr="00F8434F">
              <w:rPr>
                <w:rFonts w:ascii="Verdana" w:hAnsi="Verdana"/>
                <w:color w:val="FF0000"/>
                <w:sz w:val="16"/>
                <w:szCs w:val="16"/>
              </w:rPr>
              <w:t xml:space="preserve"> Eleven kan selvstændigt og tværprofessionelt arbejde sundhedsfremmende og ud fra et helhedssyn forebygge udvikling af livsstilssygdomme ved at vejlede og motivere borgeren/patienten til </w:t>
            </w:r>
            <w:proofErr w:type="spellStart"/>
            <w:r w:rsidRPr="00F8434F">
              <w:rPr>
                <w:rFonts w:ascii="Verdana" w:hAnsi="Verdana"/>
                <w:color w:val="FF0000"/>
                <w:sz w:val="16"/>
                <w:szCs w:val="16"/>
              </w:rPr>
              <w:t>mestring</w:t>
            </w:r>
            <w:proofErr w:type="spellEnd"/>
            <w:r w:rsidRPr="00F8434F">
              <w:rPr>
                <w:rFonts w:ascii="Verdana" w:hAnsi="Verdana"/>
                <w:color w:val="FF0000"/>
                <w:sz w:val="16"/>
                <w:szCs w:val="16"/>
              </w:rPr>
              <w:t xml:space="preserve"> af eget liv.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32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Motivation og </w:t>
            </w:r>
            <w:proofErr w:type="spellStart"/>
            <w:r w:rsidRPr="00F8434F">
              <w:rPr>
                <w:rFonts w:ascii="Verdana" w:hAnsi="Verdana"/>
                <w:sz w:val="16"/>
                <w:szCs w:val="16"/>
              </w:rPr>
              <w:t>mestring</w:t>
            </w:r>
            <w:proofErr w:type="spellEnd"/>
            <w:r w:rsidRPr="00F8434F">
              <w:rPr>
                <w:rFonts w:ascii="Verdana" w:hAnsi="Verdana"/>
                <w:sz w:val="16"/>
                <w:szCs w:val="16"/>
              </w:rPr>
              <w:t xml:space="preserve"> (</w:t>
            </w:r>
            <w:proofErr w:type="spellStart"/>
            <w:r w:rsidRPr="00F8434F">
              <w:rPr>
                <w:rFonts w:ascii="Verdana" w:hAnsi="Verdana"/>
                <w:sz w:val="16"/>
                <w:szCs w:val="16"/>
              </w:rPr>
              <w:t>Antonovsky</w:t>
            </w:r>
            <w:proofErr w:type="spellEnd"/>
            <w:r w:rsidRPr="00F8434F">
              <w:rPr>
                <w:rFonts w:ascii="Verdana" w:hAnsi="Verdana"/>
                <w:sz w:val="16"/>
                <w:szCs w:val="16"/>
              </w:rPr>
              <w:t>, Bruun Jensen og Lazarus)</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Sheldons</w:t>
            </w:r>
            <w:proofErr w:type="spellEnd"/>
            <w:r w:rsidRPr="00F8434F">
              <w:rPr>
                <w:rFonts w:ascii="Verdana" w:hAnsi="Verdana"/>
                <w:sz w:val="16"/>
                <w:szCs w:val="16"/>
              </w:rPr>
              <w:t xml:space="preserve"> 4 motivationsformer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Forebyggelse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Motiverende samtale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Livsstilssygdomme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Instruktion, vejledning og rådgivning</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Den didaktiske </w:t>
            </w:r>
            <w:proofErr w:type="spellStart"/>
            <w:r w:rsidRPr="00F8434F">
              <w:rPr>
                <w:rFonts w:ascii="Verdana" w:hAnsi="Verdana"/>
                <w:sz w:val="16"/>
                <w:szCs w:val="16"/>
              </w:rPr>
              <w:t>relationsmodel</w:t>
            </w:r>
            <w:proofErr w:type="spellEnd"/>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Målrettet kommunikation</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2, 6,7,</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41"/>
        <w:gridCol w:w="1579"/>
        <w:gridCol w:w="1786"/>
        <w:gridCol w:w="1123"/>
        <w:gridCol w:w="1097"/>
        <w:gridCol w:w="1177"/>
        <w:gridCol w:w="603"/>
        <w:gridCol w:w="992"/>
      </w:tblGrid>
      <w:tr w:rsidR="00220020" w:rsidRPr="00F8434F">
        <w:trPr>
          <w:divId w:val="990475603"/>
        </w:trPr>
        <w:tc>
          <w:tcPr>
            <w:tcW w:w="372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7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138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990475603"/>
        </w:trPr>
        <w:tc>
          <w:tcPr>
            <w:tcW w:w="37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6. </w:t>
            </w:r>
            <w:r w:rsidRPr="00F8434F">
              <w:rPr>
                <w:rFonts w:ascii="Verdana" w:hAnsi="Verdana"/>
                <w:color w:val="FF0000"/>
                <w:sz w:val="16"/>
                <w:szCs w:val="16"/>
              </w:rPr>
              <w:t xml:space="preserve">Eleven kan ud fra en rehabiliterende tilgang selvstændigt planlægge, udføre og evaluere omsorg, praktisk hjælp og personlig pleje til borgere med fysiske, psykiske og sociale behov.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3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Rehabiliterings-begrebet- hvidbogens definition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Måltidet. Hjælpemidler der kan bruges i forhold til madlavning og måltidet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ICF</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MOHO</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Aktivitetsanalyse</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Nuzo</w:t>
            </w:r>
            <w:proofErr w:type="spellEnd"/>
            <w:r w:rsidRPr="00F8434F">
              <w:rPr>
                <w:rFonts w:ascii="Verdana" w:hAnsi="Verdana"/>
                <w:sz w:val="16"/>
                <w:szCs w:val="16"/>
              </w:rPr>
              <w:t xml:space="preserve"> og Flow</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ADL</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2,5,11,12</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83"/>
        <w:gridCol w:w="1578"/>
        <w:gridCol w:w="1776"/>
        <w:gridCol w:w="1115"/>
        <w:gridCol w:w="1089"/>
        <w:gridCol w:w="1169"/>
        <w:gridCol w:w="579"/>
        <w:gridCol w:w="988"/>
      </w:tblGrid>
      <w:tr w:rsidR="00220020" w:rsidRPr="00F8434F">
        <w:trPr>
          <w:divId w:val="809400602"/>
        </w:trPr>
        <w:tc>
          <w:tcPr>
            <w:tcW w:w="374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8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69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65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809400602"/>
        </w:trPr>
        <w:tc>
          <w:tcPr>
            <w:tcW w:w="3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7. </w:t>
            </w:r>
            <w:r w:rsidRPr="00F8434F">
              <w:rPr>
                <w:rFonts w:ascii="Verdana" w:hAnsi="Verdana"/>
                <w:color w:val="FF0000"/>
                <w:sz w:val="16"/>
                <w:szCs w:val="16"/>
              </w:rPr>
              <w:t>Eleven kan selvstændigt tilrettelægge og gennemføre fysiske, sociale, kulturelle og kreative aktiviteter, og informere og vejlede om aktivitetstilbud, herunder inddrage netværk og frivillige ud fra borgerens interesser og behov og understøtte borgere/patienter i at træffe egne valg</w:t>
            </w:r>
            <w:r w:rsidRPr="00F8434F">
              <w:rPr>
                <w:rFonts w:ascii="Arial" w:hAnsi="Arial" w:cs="Arial"/>
                <w:color w:val="FF0000"/>
                <w:sz w:val="16"/>
                <w:szCs w:val="16"/>
              </w:rPr>
              <w:t xml:space="preserve">.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33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Fysisk aktivitets betydning for borgerens sundhedstilstand.</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Igangsætte fysisk aktivitet til borgeren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Sanserne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2,6,7</w:t>
            </w:r>
          </w:p>
        </w:tc>
        <w:tc>
          <w:tcPr>
            <w:tcW w:w="16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80"/>
        <w:gridCol w:w="1413"/>
        <w:gridCol w:w="1794"/>
        <w:gridCol w:w="1129"/>
        <w:gridCol w:w="1103"/>
        <w:gridCol w:w="1184"/>
        <w:gridCol w:w="600"/>
        <w:gridCol w:w="995"/>
      </w:tblGrid>
      <w:tr w:rsidR="00220020" w:rsidRPr="00F8434F">
        <w:trPr>
          <w:divId w:val="1965505801"/>
        </w:trPr>
        <w:tc>
          <w:tcPr>
            <w:tcW w:w="366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9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1965505801"/>
        </w:trPr>
        <w:tc>
          <w:tcPr>
            <w:tcW w:w="36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8. Eleven kan selvstændigt forebygge smittespredning ud fra nationale og lokale retningslinjer og standarder for hygiejne, herunder særlige regimer og teknikker samt vejlede borgere, patienter, pårørende, kollegaer og frivillige herom.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 </w:t>
            </w:r>
          </w:p>
        </w:tc>
        <w:tc>
          <w:tcPr>
            <w:tcW w:w="3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Hygiejniske principper i forbindelse med sengeredning, kateterpleje og nedre hygiejne</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5, 10,11,13</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6"/>
        <w:gridCol w:w="1768"/>
        <w:gridCol w:w="1776"/>
        <w:gridCol w:w="1115"/>
        <w:gridCol w:w="1089"/>
        <w:gridCol w:w="1169"/>
        <w:gridCol w:w="579"/>
        <w:gridCol w:w="988"/>
      </w:tblGrid>
      <w:tr w:rsidR="00220020" w:rsidRPr="00F8434F">
        <w:trPr>
          <w:divId w:val="767387929"/>
        </w:trPr>
        <w:tc>
          <w:tcPr>
            <w:tcW w:w="3734"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31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94"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41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767387929"/>
        </w:trPr>
        <w:tc>
          <w:tcPr>
            <w:tcW w:w="3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9. </w:t>
            </w:r>
            <w:r w:rsidRPr="00F8434F">
              <w:rPr>
                <w:rFonts w:ascii="Verdana" w:hAnsi="Verdana"/>
                <w:color w:val="FF0000"/>
                <w:sz w:val="16"/>
                <w:szCs w:val="16"/>
              </w:rPr>
              <w:t xml:space="preserve">Eleven kan selvstændigt efter praktikstedets retningslinjer og efter delegation varetage medicinhåndtering, observere virkning/bivirkninger samt dokumentere og samarbejde med borger/patient i den medicinske </w:t>
            </w:r>
            <w:r w:rsidRPr="00F8434F">
              <w:rPr>
                <w:rFonts w:ascii="Verdana" w:hAnsi="Verdana"/>
                <w:color w:val="FF0000"/>
                <w:sz w:val="16"/>
                <w:szCs w:val="16"/>
              </w:rPr>
              <w:lastRenderedPageBreak/>
              <w:t xml:space="preserve">behandling.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3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spellStart"/>
            <w:r w:rsidRPr="00F8434F">
              <w:rPr>
                <w:rFonts w:ascii="Calibri" w:hAnsi="Calibri" w:cs="Calibri"/>
                <w:sz w:val="20"/>
                <w:szCs w:val="20"/>
              </w:rPr>
              <w:lastRenderedPageBreak/>
              <w:t>Farmakodynamik</w:t>
            </w:r>
            <w:proofErr w:type="spellEnd"/>
            <w:r w:rsidRPr="00F8434F">
              <w:rPr>
                <w:rFonts w:ascii="Calibri" w:hAnsi="Calibri" w:cs="Calibri"/>
                <w:sz w:val="20"/>
                <w:szCs w:val="20"/>
              </w:rPr>
              <w:t xml:space="preserve"> og </w:t>
            </w:r>
            <w:proofErr w:type="spellStart"/>
            <w:r w:rsidRPr="00F8434F">
              <w:rPr>
                <w:rFonts w:ascii="Calibri" w:hAnsi="Calibri" w:cs="Calibri"/>
                <w:sz w:val="20"/>
                <w:szCs w:val="20"/>
              </w:rPr>
              <w:t>farmakokinetik</w:t>
            </w:r>
            <w:proofErr w:type="spellEnd"/>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Lovgivning, kompetence, dokumentation</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Lægemiddelregning</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Hygiejne vedr. lægemidler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Medicinhåndtering</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Observation virkning og bivirkning af lægemidler.</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1,2,4,10</w:t>
            </w:r>
          </w:p>
        </w:tc>
        <w:tc>
          <w:tcPr>
            <w:tcW w:w="1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88"/>
        <w:gridCol w:w="1606"/>
        <w:gridCol w:w="1776"/>
        <w:gridCol w:w="1115"/>
        <w:gridCol w:w="1089"/>
        <w:gridCol w:w="1169"/>
        <w:gridCol w:w="579"/>
        <w:gridCol w:w="988"/>
      </w:tblGrid>
      <w:tr w:rsidR="00220020" w:rsidRPr="00F8434F">
        <w:trPr>
          <w:divId w:val="891236426"/>
        </w:trPr>
        <w:tc>
          <w:tcPr>
            <w:tcW w:w="3744"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31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63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3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891236426"/>
        </w:trPr>
        <w:tc>
          <w:tcPr>
            <w:tcW w:w="3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10. </w:t>
            </w:r>
            <w:r w:rsidRPr="00F8434F">
              <w:rPr>
                <w:rFonts w:ascii="Verdana" w:hAnsi="Verdana"/>
                <w:color w:val="FF0000"/>
                <w:sz w:val="16"/>
                <w:szCs w:val="16"/>
              </w:rPr>
              <w:t xml:space="preserve">Eleven kan etablere relationer, der skaber samarbejde med borgere/patienter, pårørende og frivillige, herunder kommunikere målrettet og anvende relevante kommunikationsformer.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33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Aktiv lytning i forhold til at skabe relationer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Gensvarsmodeller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Spørgeteknikker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5,6,7</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14"/>
        <w:gridCol w:w="1547"/>
        <w:gridCol w:w="1800"/>
        <w:gridCol w:w="1135"/>
        <w:gridCol w:w="1108"/>
        <w:gridCol w:w="1189"/>
        <w:gridCol w:w="607"/>
        <w:gridCol w:w="998"/>
      </w:tblGrid>
      <w:tr w:rsidR="00220020" w:rsidRPr="00F8434F">
        <w:trPr>
          <w:divId w:val="1009335106"/>
        </w:trPr>
        <w:tc>
          <w:tcPr>
            <w:tcW w:w="377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31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1009335106"/>
        </w:trPr>
        <w:tc>
          <w:tcPr>
            <w:tcW w:w="3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11. </w:t>
            </w:r>
            <w:r w:rsidRPr="00F8434F">
              <w:rPr>
                <w:rFonts w:ascii="Verdana" w:hAnsi="Verdana"/>
                <w:color w:val="FF0000"/>
                <w:sz w:val="16"/>
                <w:szCs w:val="16"/>
              </w:rPr>
              <w:t xml:space="preserve">Eleven kan selvstændigt gennemføre pædagogiske aktiviteter og varetage vejledning af kollegaer.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 </w:t>
            </w:r>
          </w:p>
        </w:tc>
        <w:tc>
          <w:tcPr>
            <w:tcW w:w="3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Rådgivning, vejledning og instruktion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Den didaktiske model</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Målrettet kommunikation</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5,6,7,8,9</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66"/>
        <w:gridCol w:w="1813"/>
        <w:gridCol w:w="1776"/>
        <w:gridCol w:w="1115"/>
        <w:gridCol w:w="1089"/>
        <w:gridCol w:w="1169"/>
        <w:gridCol w:w="579"/>
        <w:gridCol w:w="988"/>
      </w:tblGrid>
      <w:tr w:rsidR="00220020" w:rsidRPr="00F8434F">
        <w:trPr>
          <w:divId w:val="1708525282"/>
        </w:trPr>
        <w:tc>
          <w:tcPr>
            <w:tcW w:w="379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8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1708525282"/>
        </w:trPr>
        <w:tc>
          <w:tcPr>
            <w:tcW w:w="3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12. </w:t>
            </w:r>
            <w:r w:rsidRPr="00F8434F">
              <w:rPr>
                <w:rFonts w:ascii="Verdana" w:hAnsi="Verdana"/>
                <w:color w:val="FF0000"/>
                <w:sz w:val="16"/>
                <w:szCs w:val="16"/>
              </w:rPr>
              <w:t xml:space="preserve">Eleven kan kommunikere på en måde der, under hensyntagen til egen og andres sikkerhed, understøtter borgere og patienters integritet og selvbestemmelse i forbindelse med konflikthåndtering og voldsforebyggelse.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xml:space="preserve"> </w:t>
            </w:r>
          </w:p>
        </w:tc>
        <w:tc>
          <w:tcPr>
            <w:tcW w:w="3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Kultur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Sundhedsopfattelser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Værdighed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Integritet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Kommunikation og refleksion</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Psykiatrisk sygepleje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Kognitiv tilgang og forsvarsmekanismer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Voldspolitik</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Lokalt kriseberedskab</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Lov om selvbestemmelse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Magt og tvang</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Stress håndtering</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4,6,7,9,14</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10851" w:type="dxa"/>
        <w:tblInd w:w="-60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92"/>
        <w:gridCol w:w="1943"/>
        <w:gridCol w:w="1776"/>
        <w:gridCol w:w="1115"/>
        <w:gridCol w:w="1089"/>
        <w:gridCol w:w="1169"/>
        <w:gridCol w:w="579"/>
        <w:gridCol w:w="988"/>
      </w:tblGrid>
      <w:tr w:rsidR="00220020" w:rsidRPr="00F8434F" w:rsidTr="00F8434F">
        <w:trPr>
          <w:divId w:val="1052458225"/>
        </w:trPr>
        <w:tc>
          <w:tcPr>
            <w:tcW w:w="219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194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177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11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08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16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57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988"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rsidTr="00F8434F">
        <w:trPr>
          <w:divId w:val="1052458225"/>
        </w:trPr>
        <w:tc>
          <w:tcPr>
            <w:tcW w:w="21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13. </w:t>
            </w:r>
            <w:r w:rsidRPr="00F8434F">
              <w:rPr>
                <w:rFonts w:ascii="Verdana" w:hAnsi="Verdana"/>
                <w:color w:val="FF0000"/>
                <w:sz w:val="16"/>
                <w:szCs w:val="16"/>
              </w:rPr>
              <w:t xml:space="preserve">Eleven kan </w:t>
            </w:r>
            <w:r w:rsidRPr="00F8434F">
              <w:rPr>
                <w:rFonts w:ascii="Verdana" w:hAnsi="Verdana"/>
                <w:color w:val="FF0000"/>
                <w:sz w:val="16"/>
                <w:szCs w:val="16"/>
              </w:rPr>
              <w:lastRenderedPageBreak/>
              <w:t xml:space="preserve">selvstændigt kommunikere og dokumentere faglige handlinger i relevante dokumentationssystemer med henblik på at understøtte patientsikre overgange og kontinuitet i det samlede borger/patientforløb og øge den borger-/patientoplevede kvalitet.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xml:space="preserve"> </w:t>
            </w:r>
          </w:p>
        </w:tc>
        <w:tc>
          <w:tcPr>
            <w:tcW w:w="1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lastRenderedPageBreak/>
              <w:t xml:space="preserve">Dokumentation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12 sygeplejefaglige </w:t>
            </w:r>
            <w:r w:rsidRPr="00F8434F">
              <w:rPr>
                <w:rFonts w:ascii="Verdana" w:hAnsi="Verdana"/>
                <w:sz w:val="16"/>
                <w:szCs w:val="16"/>
              </w:rPr>
              <w:lastRenderedPageBreak/>
              <w:t>problemområder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w:t>
            </w:r>
            <w:proofErr w:type="gramStart"/>
            <w:r w:rsidRPr="00F8434F">
              <w:rPr>
                <w:rFonts w:ascii="Verdana" w:hAnsi="Verdana"/>
                <w:sz w:val="16"/>
                <w:szCs w:val="16"/>
              </w:rPr>
              <w:t>begyndende</w:t>
            </w:r>
            <w:proofErr w:type="gramEnd"/>
            <w:r w:rsidRPr="00F8434F">
              <w:rPr>
                <w:rFonts w:ascii="Verdana" w:hAnsi="Verdana"/>
                <w:sz w:val="16"/>
                <w:szCs w:val="16"/>
              </w:rPr>
              <w:t xml:space="preserve"> kendskab) FS III</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ISBAR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Dokumentation i forhold til lægemidler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i/>
                <w:iCs/>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Psykiatrisk system</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Målrettet kommunikation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Sygeplejeplaner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Handleplaner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Kontaktpersonordning</w:t>
            </w:r>
          </w:p>
        </w:tc>
        <w:tc>
          <w:tcPr>
            <w:tcW w:w="1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8, 9,10, 11</w:t>
            </w:r>
          </w:p>
        </w:tc>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0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5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84"/>
        <w:gridCol w:w="1756"/>
        <w:gridCol w:w="1776"/>
        <w:gridCol w:w="1115"/>
        <w:gridCol w:w="1089"/>
        <w:gridCol w:w="1169"/>
        <w:gridCol w:w="579"/>
        <w:gridCol w:w="988"/>
      </w:tblGrid>
      <w:tr w:rsidR="00220020" w:rsidRPr="00F8434F">
        <w:trPr>
          <w:divId w:val="596518460"/>
        </w:trPr>
        <w:tc>
          <w:tcPr>
            <w:tcW w:w="380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9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596518460"/>
        </w:trPr>
        <w:tc>
          <w:tcPr>
            <w:tcW w:w="38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14. </w:t>
            </w:r>
            <w:r w:rsidRPr="00F8434F">
              <w:rPr>
                <w:rFonts w:ascii="Verdana" w:hAnsi="Verdana"/>
                <w:color w:val="FF0000"/>
                <w:sz w:val="16"/>
                <w:szCs w:val="16"/>
              </w:rPr>
              <w:t xml:space="preserve">Eleven kan selvstændigt koordinere og tilrettelægge eget og andres arbejde samt understøtte og indgå i teamsamarbejde omkring opgaveløsning med borgerens/patientens mål for øje.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xml:space="preserve"> </w:t>
            </w:r>
          </w:p>
        </w:tc>
        <w:tc>
          <w:tcPr>
            <w:tcW w:w="3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Instruktion, vejledning, rådgivning og didaktik.</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Sygeplejeprocessen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ISBAR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Kommunikation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Rollen som SSA</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1, 8, 9</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04"/>
        <w:gridCol w:w="1780"/>
        <w:gridCol w:w="1776"/>
        <w:gridCol w:w="1115"/>
        <w:gridCol w:w="1089"/>
        <w:gridCol w:w="1169"/>
        <w:gridCol w:w="579"/>
        <w:gridCol w:w="988"/>
      </w:tblGrid>
      <w:tr w:rsidR="00220020" w:rsidRPr="00F8434F">
        <w:trPr>
          <w:divId w:val="2137525947"/>
        </w:trPr>
        <w:tc>
          <w:tcPr>
            <w:tcW w:w="382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7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2137525947"/>
        </w:trPr>
        <w:tc>
          <w:tcPr>
            <w:tcW w:w="3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15. Eleven kan koordinere og indgå i samarbejdet om en borgers/patients behov for tværprofessionel og tværsektoriel indsats, herunder selvstændigt indlede, afslutte og dokumentere en social- og sundhedsfaglig ydelse i relation til modtagelse, indlæggelse, udskrivning og hjemkomst. </w:t>
            </w:r>
          </w:p>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 </w:t>
            </w:r>
          </w:p>
        </w:tc>
        <w:tc>
          <w:tcPr>
            <w:tcW w:w="32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Kendskab til andre samarbejdspartnere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Assistenten som fagperson</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Psykiatriske system</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7,8, 9,10,11</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X</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25"/>
        <w:gridCol w:w="1363"/>
        <w:gridCol w:w="1787"/>
        <w:gridCol w:w="1132"/>
        <w:gridCol w:w="1106"/>
        <w:gridCol w:w="1186"/>
        <w:gridCol w:w="603"/>
        <w:gridCol w:w="996"/>
      </w:tblGrid>
      <w:tr w:rsidR="00220020" w:rsidRPr="00F8434F">
        <w:trPr>
          <w:divId w:val="2023627572"/>
        </w:trPr>
        <w:tc>
          <w:tcPr>
            <w:tcW w:w="38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6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194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2023627572"/>
        </w:trPr>
        <w:tc>
          <w:tcPr>
            <w:tcW w:w="3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16. </w:t>
            </w:r>
            <w:r w:rsidRPr="00F8434F">
              <w:rPr>
                <w:rFonts w:ascii="Verdana" w:hAnsi="Verdana"/>
                <w:color w:val="FF0000"/>
                <w:sz w:val="16"/>
                <w:szCs w:val="16"/>
              </w:rPr>
              <w:t xml:space="preserve">Eleven kan selvstændigt udføre sygepleje med anvendelse </w:t>
            </w:r>
            <w:r w:rsidRPr="00F8434F">
              <w:rPr>
                <w:rFonts w:ascii="Verdana" w:hAnsi="Verdana"/>
                <w:color w:val="FF0000"/>
                <w:sz w:val="16"/>
                <w:szCs w:val="16"/>
              </w:rPr>
              <w:lastRenderedPageBreak/>
              <w:t xml:space="preserve">af teknologi og retningslinjer, der tager udgangspunkt i erfaringsbaseret viden og evidens.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xml:space="preserve"> </w:t>
            </w:r>
          </w:p>
        </w:tc>
        <w:tc>
          <w:tcPr>
            <w:tcW w:w="3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lastRenderedPageBreak/>
              <w:t xml:space="preserve">Hjælpemidler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Jeg - støtte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Social </w:t>
            </w:r>
            <w:r w:rsidRPr="00F8434F">
              <w:rPr>
                <w:rFonts w:ascii="Verdana" w:hAnsi="Verdana"/>
                <w:sz w:val="16"/>
                <w:szCs w:val="16"/>
              </w:rPr>
              <w:lastRenderedPageBreak/>
              <w:t>pædagogiske metoder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Kognitiv terapi</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lastRenderedPageBreak/>
              <w:t>2,8,11,12</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43"/>
        <w:gridCol w:w="1533"/>
        <w:gridCol w:w="1776"/>
        <w:gridCol w:w="1115"/>
        <w:gridCol w:w="1089"/>
        <w:gridCol w:w="1169"/>
        <w:gridCol w:w="579"/>
        <w:gridCol w:w="988"/>
      </w:tblGrid>
      <w:tr w:rsidR="00220020" w:rsidRPr="00F8434F">
        <w:trPr>
          <w:divId w:val="1720128469"/>
        </w:trPr>
        <w:tc>
          <w:tcPr>
            <w:tcW w:w="3852"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1720128469"/>
        </w:trPr>
        <w:tc>
          <w:tcPr>
            <w:tcW w:w="3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17. </w:t>
            </w:r>
            <w:r w:rsidRPr="00F8434F">
              <w:rPr>
                <w:rFonts w:ascii="Verdana" w:hAnsi="Verdana"/>
                <w:color w:val="FF0000"/>
                <w:sz w:val="16"/>
                <w:szCs w:val="16"/>
              </w:rPr>
              <w:t xml:space="preserve">Eleven kan støtte op om udviklingen af god praksis for kvalitetssikring og patientsikkerhed i det tværprofessionelle samarbejde. </w:t>
            </w:r>
          </w:p>
        </w:tc>
        <w:tc>
          <w:tcPr>
            <w:tcW w:w="32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UTH</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TOBS</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Magtanvendelse- servicelov</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Tvang- psykiatrilov</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Dokumentation</w:t>
            </w:r>
          </w:p>
          <w:p w:rsidR="00220020" w:rsidRPr="00F8434F" w:rsidRDefault="00220020">
            <w:pPr>
              <w:pStyle w:val="NormalWeb"/>
              <w:spacing w:before="0" w:beforeAutospacing="0" w:after="0" w:afterAutospacing="0"/>
              <w:rPr>
                <w:rFonts w:ascii="Verdana" w:hAnsi="Verdana"/>
                <w:sz w:val="16"/>
                <w:szCs w:val="16"/>
              </w:rPr>
            </w:pPr>
            <w:proofErr w:type="spellStart"/>
            <w:r w:rsidRPr="00F8434F">
              <w:rPr>
                <w:rFonts w:ascii="Verdana" w:hAnsi="Verdana"/>
                <w:sz w:val="16"/>
                <w:szCs w:val="16"/>
              </w:rPr>
              <w:t>Brøset</w:t>
            </w:r>
            <w:proofErr w:type="spellEnd"/>
            <w:r w:rsidRPr="00F8434F">
              <w:rPr>
                <w:rFonts w:ascii="Verdana" w:hAnsi="Verdana"/>
                <w:sz w:val="16"/>
                <w:szCs w:val="16"/>
              </w:rPr>
              <w:t xml:space="preserve"> (BVC risikovurdering)</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1"/>
        <w:gridCol w:w="1745"/>
        <w:gridCol w:w="1776"/>
        <w:gridCol w:w="1115"/>
        <w:gridCol w:w="1089"/>
        <w:gridCol w:w="1169"/>
        <w:gridCol w:w="579"/>
        <w:gridCol w:w="988"/>
      </w:tblGrid>
      <w:tr w:rsidR="00220020" w:rsidRPr="00F8434F">
        <w:trPr>
          <w:divId w:val="457114968"/>
        </w:trPr>
        <w:tc>
          <w:tcPr>
            <w:tcW w:w="3894"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33"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457114968"/>
        </w:trPr>
        <w:tc>
          <w:tcPr>
            <w:tcW w:w="39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t xml:space="preserve">18. </w:t>
            </w:r>
            <w:r w:rsidRPr="00F8434F">
              <w:rPr>
                <w:rFonts w:ascii="Verdana" w:hAnsi="Verdana"/>
                <w:color w:val="FF0000"/>
                <w:sz w:val="16"/>
                <w:szCs w:val="16"/>
              </w:rPr>
              <w:t xml:space="preserve">Eleven kan forholde sig kritisk til og understøtte udvikling af et godt fysisk og psykisk arbejdsmiljø, herunder udføre forflytninger samt vurdere pladsforhold under overholdelse af arbejdsmiljøreglerne og anvendelse af velfærdsteknologi.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xml:space="preserve"> </w:t>
            </w:r>
          </w:p>
        </w:tc>
        <w:tc>
          <w:tcPr>
            <w:tcW w:w="32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Arbejdsmiljø</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Arbejdsmiljoweb.dk</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Ergonomi</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i/>
                <w:iCs/>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Voldspolitik og kriseberedskab</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Voldspolitik og stresshåndtering</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12,13,14</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proofErr w:type="gramStart"/>
            <w:r w:rsidRPr="00F8434F">
              <w:rPr>
                <w:rFonts w:ascii="Calibri" w:hAnsi="Calibri" w:cs="Calibri"/>
                <w:sz w:val="20"/>
                <w:szCs w:val="20"/>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84"/>
        <w:gridCol w:w="1616"/>
        <w:gridCol w:w="1776"/>
        <w:gridCol w:w="1115"/>
        <w:gridCol w:w="1089"/>
        <w:gridCol w:w="1169"/>
        <w:gridCol w:w="579"/>
        <w:gridCol w:w="988"/>
      </w:tblGrid>
      <w:tr w:rsidR="00220020" w:rsidRPr="00F8434F">
        <w:trPr>
          <w:divId w:val="2134329327"/>
        </w:trPr>
        <w:tc>
          <w:tcPr>
            <w:tcW w:w="3938"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Praktikmål</w:t>
            </w:r>
          </w:p>
        </w:tc>
        <w:tc>
          <w:tcPr>
            <w:tcW w:w="320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2134329327"/>
        </w:trPr>
        <w:tc>
          <w:tcPr>
            <w:tcW w:w="3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19. Eleven kan reflektere over og træffe kvalificerede valg i forhold til etiske og faglige dilemmaer, der følger arbejdet som professionel sundhedsperson, fx forhold som tavshedspligt, magtanvendelse, patientrettigheder, omsorgspligt og hensyn til borgerens/patientens livskvalitet. </w:t>
            </w:r>
          </w:p>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 </w:t>
            </w:r>
          </w:p>
        </w:tc>
        <w:tc>
          <w:tcPr>
            <w:tcW w:w="3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Lovgivning- tavshedspligt og patientrettigheder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Livskvalitet</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Psykiatri lov</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Magtanvendelse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Livsformer</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Sundhed</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Hverdagsliv</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1, 2, 3, 4, 5</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proofErr w:type="gramStart"/>
            <w:r w:rsidRPr="00F8434F">
              <w:rPr>
                <w:rFonts w:ascii="Verdana" w:hAnsi="Verdana"/>
                <w:sz w:val="16"/>
                <w:szCs w:val="16"/>
              </w:rPr>
              <w:t>x</w:t>
            </w:r>
            <w:proofErr w:type="gramEnd"/>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tc>
        <w:tc>
          <w:tcPr>
            <w:tcW w:w="8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tc>
      </w:tr>
    </w:tbl>
    <w:p w:rsidR="00220020" w:rsidRPr="00F8434F" w:rsidRDefault="00220020">
      <w:pPr>
        <w:pStyle w:val="NormalWeb"/>
        <w:spacing w:before="0" w:beforeAutospacing="0" w:after="0" w:afterAutospacing="0"/>
        <w:rPr>
          <w:rFonts w:ascii="Verdana" w:hAnsi="Verdana" w:cs="Calibri"/>
          <w:sz w:val="16"/>
          <w:szCs w:val="16"/>
        </w:rPr>
      </w:pPr>
      <w:r w:rsidRPr="00F8434F">
        <w:rPr>
          <w:rFonts w:ascii="Verdana" w:hAnsi="Verdana" w:cs="Calibri"/>
          <w:sz w:val="16"/>
          <w:szCs w:val="16"/>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80"/>
        <w:gridCol w:w="1918"/>
        <w:gridCol w:w="1776"/>
        <w:gridCol w:w="1115"/>
        <w:gridCol w:w="1089"/>
        <w:gridCol w:w="1169"/>
        <w:gridCol w:w="579"/>
        <w:gridCol w:w="988"/>
      </w:tblGrid>
      <w:tr w:rsidR="00220020" w:rsidRPr="00F8434F">
        <w:trPr>
          <w:divId w:val="218708893"/>
        </w:trPr>
        <w:tc>
          <w:tcPr>
            <w:tcW w:w="393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Praktikmål</w:t>
            </w:r>
          </w:p>
        </w:tc>
        <w:tc>
          <w:tcPr>
            <w:tcW w:w="322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Teoriafsæt</w:t>
            </w:r>
          </w:p>
        </w:tc>
        <w:tc>
          <w:tcPr>
            <w:tcW w:w="2105"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Kompetencemål</w:t>
            </w:r>
          </w:p>
        </w:tc>
        <w:tc>
          <w:tcPr>
            <w:tcW w:w="138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Begynder</w:t>
            </w:r>
          </w:p>
        </w:tc>
        <w:tc>
          <w:tcPr>
            <w:tcW w:w="134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Rutineret</w:t>
            </w:r>
          </w:p>
        </w:tc>
        <w:tc>
          <w:tcPr>
            <w:tcW w:w="1437"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Avanceret</w:t>
            </w:r>
          </w:p>
        </w:tc>
        <w:tc>
          <w:tcPr>
            <w:tcW w:w="960"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Elev</w:t>
            </w:r>
          </w:p>
        </w:tc>
        <w:tc>
          <w:tcPr>
            <w:tcW w:w="1119"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20"/>
                <w:szCs w:val="20"/>
              </w:rPr>
            </w:pPr>
            <w:r w:rsidRPr="00F8434F">
              <w:rPr>
                <w:rFonts w:ascii="Verdana" w:hAnsi="Verdana"/>
                <w:sz w:val="20"/>
                <w:szCs w:val="20"/>
              </w:rPr>
              <w:t>Vejleder</w:t>
            </w:r>
          </w:p>
        </w:tc>
      </w:tr>
      <w:tr w:rsidR="00220020" w:rsidRPr="00F8434F">
        <w:trPr>
          <w:divId w:val="218708893"/>
        </w:trPr>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color w:val="FF0000"/>
                <w:sz w:val="21"/>
                <w:szCs w:val="21"/>
              </w:rPr>
            </w:pPr>
            <w:r w:rsidRPr="00F8434F">
              <w:rPr>
                <w:rFonts w:ascii="Calibri" w:hAnsi="Calibri" w:cs="Calibri"/>
                <w:color w:val="FF0000"/>
                <w:sz w:val="20"/>
                <w:szCs w:val="20"/>
              </w:rPr>
              <w:lastRenderedPageBreak/>
              <w:t xml:space="preserve">20. </w:t>
            </w:r>
            <w:r w:rsidRPr="00F8434F">
              <w:rPr>
                <w:rFonts w:ascii="Verdana" w:hAnsi="Verdana"/>
                <w:color w:val="FF0000"/>
                <w:sz w:val="16"/>
                <w:szCs w:val="16"/>
              </w:rPr>
              <w:t xml:space="preserve">Eleven kan planlægge og redegøre for eget arbejde og kompetenceområde som autoriseret sundhedsperson i overensstemmelse med relevant lovgivning og andres kompetenceområder. </w:t>
            </w:r>
          </w:p>
          <w:p w:rsidR="00220020" w:rsidRPr="00F8434F" w:rsidRDefault="00220020">
            <w:pPr>
              <w:pStyle w:val="NormalWeb"/>
              <w:spacing w:before="0" w:beforeAutospacing="0" w:after="0" w:afterAutospacing="0"/>
              <w:rPr>
                <w:rFonts w:ascii="Verdana" w:hAnsi="Verdana"/>
                <w:color w:val="FF0000"/>
                <w:sz w:val="16"/>
                <w:szCs w:val="16"/>
              </w:rPr>
            </w:pPr>
            <w:r w:rsidRPr="00F8434F">
              <w:rPr>
                <w:rFonts w:ascii="Verdana" w:hAnsi="Verdana"/>
                <w:color w:val="FF0000"/>
                <w:sz w:val="16"/>
                <w:szCs w:val="16"/>
              </w:rPr>
              <w:t xml:space="preserve"> </w:t>
            </w:r>
          </w:p>
        </w:tc>
        <w:tc>
          <w:tcPr>
            <w:tcW w:w="3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Social- og sundhedsassistentens virksomhedsområde</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xml:space="preserve">Kompetenceområde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Autorisationslov</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Lovgivning- sundhedslov og servicelov</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Rettigheder og pligter</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Verdana" w:hAnsi="Verdana"/>
                <w:sz w:val="16"/>
                <w:szCs w:val="16"/>
              </w:rPr>
            </w:pPr>
            <w:r w:rsidRPr="00F8434F">
              <w:rPr>
                <w:rFonts w:ascii="Verdana" w:hAnsi="Verdana"/>
                <w:sz w:val="16"/>
                <w:szCs w:val="16"/>
              </w:rPr>
              <w:t>Psykiatrilov</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1, 10, 12</w:t>
            </w:r>
          </w:p>
        </w:tc>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13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X</w:t>
            </w:r>
          </w:p>
        </w:tc>
        <w:tc>
          <w:tcPr>
            <w:tcW w:w="1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c>
          <w:tcPr>
            <w:tcW w:w="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798"/>
      </w:tblGrid>
      <w:tr w:rsidR="00220020" w:rsidRPr="00F8434F">
        <w:trPr>
          <w:divId w:val="42484686"/>
        </w:trPr>
        <w:tc>
          <w:tcPr>
            <w:tcW w:w="1132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Relevante informationer til næste praktiksted, supplerende i forhold til ovenstående.</w:t>
            </w:r>
          </w:p>
        </w:tc>
      </w:tr>
      <w:tr w:rsidR="00220020" w:rsidRPr="00F8434F">
        <w:trPr>
          <w:divId w:val="42484686"/>
        </w:trPr>
        <w:tc>
          <w:tcPr>
            <w:tcW w:w="11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w:t>
            </w:r>
          </w:p>
          <w:p w:rsidR="00220020" w:rsidRPr="00F8434F" w:rsidRDefault="00220020">
            <w:pPr>
              <w:pStyle w:val="NormalWeb"/>
              <w:spacing w:before="0" w:beforeAutospacing="0" w:after="0" w:afterAutospacing="0"/>
              <w:rPr>
                <w:rFonts w:ascii="Calibri" w:hAnsi="Calibri" w:cs="Calibri"/>
                <w:color w:val="FF0000"/>
                <w:sz w:val="20"/>
                <w:szCs w:val="20"/>
              </w:rPr>
            </w:pPr>
            <w:r w:rsidRPr="00F8434F">
              <w:rPr>
                <w:rFonts w:ascii="Calibri" w:hAnsi="Calibri" w:cs="Calibri"/>
                <w:color w:val="FF0000"/>
                <w:sz w:val="20"/>
                <w:szCs w:val="20"/>
              </w:rPr>
              <w:t> </w:t>
            </w:r>
          </w:p>
        </w:tc>
      </w:tr>
    </w:tbl>
    <w:p w:rsidR="00220020" w:rsidRPr="00F8434F" w:rsidRDefault="00220020">
      <w:pPr>
        <w:pStyle w:val="NormalWeb"/>
        <w:spacing w:before="0" w:beforeAutospacing="0" w:after="0" w:afterAutospacing="0"/>
        <w:rPr>
          <w:rFonts w:ascii="Calibri" w:hAnsi="Calibri" w:cs="Calibri"/>
          <w:sz w:val="20"/>
          <w:szCs w:val="20"/>
        </w:rPr>
      </w:pPr>
      <w:r w:rsidRPr="00F8434F">
        <w:rPr>
          <w:rFonts w:ascii="Calibri" w:hAnsi="Calibri" w:cs="Calibri"/>
          <w:sz w:val="20"/>
          <w:szCs w:val="20"/>
        </w:rPr>
        <w:t> </w:t>
      </w:r>
    </w:p>
    <w:sectPr w:rsidR="00220020" w:rsidRPr="00F843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72"/>
    <w:rsid w:val="00220020"/>
    <w:rsid w:val="005009C6"/>
    <w:rsid w:val="00B74D18"/>
    <w:rsid w:val="00D27C72"/>
    <w:rsid w:val="00F843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3DE7D-A091-475C-9981-1F943EEA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4686">
      <w:marLeft w:val="0"/>
      <w:marRight w:val="0"/>
      <w:marTop w:val="0"/>
      <w:marBottom w:val="0"/>
      <w:divBdr>
        <w:top w:val="none" w:sz="0" w:space="0" w:color="auto"/>
        <w:left w:val="none" w:sz="0" w:space="0" w:color="auto"/>
        <w:bottom w:val="none" w:sz="0" w:space="0" w:color="auto"/>
        <w:right w:val="none" w:sz="0" w:space="0" w:color="auto"/>
      </w:divBdr>
    </w:div>
    <w:div w:id="218708893">
      <w:marLeft w:val="0"/>
      <w:marRight w:val="0"/>
      <w:marTop w:val="0"/>
      <w:marBottom w:val="0"/>
      <w:divBdr>
        <w:top w:val="none" w:sz="0" w:space="0" w:color="auto"/>
        <w:left w:val="none" w:sz="0" w:space="0" w:color="auto"/>
        <w:bottom w:val="none" w:sz="0" w:space="0" w:color="auto"/>
        <w:right w:val="none" w:sz="0" w:space="0" w:color="auto"/>
      </w:divBdr>
    </w:div>
    <w:div w:id="457114968">
      <w:marLeft w:val="0"/>
      <w:marRight w:val="0"/>
      <w:marTop w:val="0"/>
      <w:marBottom w:val="0"/>
      <w:divBdr>
        <w:top w:val="none" w:sz="0" w:space="0" w:color="auto"/>
        <w:left w:val="none" w:sz="0" w:space="0" w:color="auto"/>
        <w:bottom w:val="none" w:sz="0" w:space="0" w:color="auto"/>
        <w:right w:val="none" w:sz="0" w:space="0" w:color="auto"/>
      </w:divBdr>
    </w:div>
    <w:div w:id="596518460">
      <w:marLeft w:val="0"/>
      <w:marRight w:val="0"/>
      <w:marTop w:val="0"/>
      <w:marBottom w:val="0"/>
      <w:divBdr>
        <w:top w:val="none" w:sz="0" w:space="0" w:color="auto"/>
        <w:left w:val="none" w:sz="0" w:space="0" w:color="auto"/>
        <w:bottom w:val="none" w:sz="0" w:space="0" w:color="auto"/>
        <w:right w:val="none" w:sz="0" w:space="0" w:color="auto"/>
      </w:divBdr>
    </w:div>
    <w:div w:id="767387929">
      <w:marLeft w:val="0"/>
      <w:marRight w:val="0"/>
      <w:marTop w:val="0"/>
      <w:marBottom w:val="0"/>
      <w:divBdr>
        <w:top w:val="none" w:sz="0" w:space="0" w:color="auto"/>
        <w:left w:val="none" w:sz="0" w:space="0" w:color="auto"/>
        <w:bottom w:val="none" w:sz="0" w:space="0" w:color="auto"/>
        <w:right w:val="none" w:sz="0" w:space="0" w:color="auto"/>
      </w:divBdr>
    </w:div>
    <w:div w:id="809400602">
      <w:marLeft w:val="0"/>
      <w:marRight w:val="0"/>
      <w:marTop w:val="0"/>
      <w:marBottom w:val="0"/>
      <w:divBdr>
        <w:top w:val="none" w:sz="0" w:space="0" w:color="auto"/>
        <w:left w:val="none" w:sz="0" w:space="0" w:color="auto"/>
        <w:bottom w:val="none" w:sz="0" w:space="0" w:color="auto"/>
        <w:right w:val="none" w:sz="0" w:space="0" w:color="auto"/>
      </w:divBdr>
    </w:div>
    <w:div w:id="891236426">
      <w:marLeft w:val="0"/>
      <w:marRight w:val="0"/>
      <w:marTop w:val="0"/>
      <w:marBottom w:val="0"/>
      <w:divBdr>
        <w:top w:val="none" w:sz="0" w:space="0" w:color="auto"/>
        <w:left w:val="none" w:sz="0" w:space="0" w:color="auto"/>
        <w:bottom w:val="none" w:sz="0" w:space="0" w:color="auto"/>
        <w:right w:val="none" w:sz="0" w:space="0" w:color="auto"/>
      </w:divBdr>
    </w:div>
    <w:div w:id="990475603">
      <w:marLeft w:val="0"/>
      <w:marRight w:val="0"/>
      <w:marTop w:val="0"/>
      <w:marBottom w:val="0"/>
      <w:divBdr>
        <w:top w:val="none" w:sz="0" w:space="0" w:color="auto"/>
        <w:left w:val="none" w:sz="0" w:space="0" w:color="auto"/>
        <w:bottom w:val="none" w:sz="0" w:space="0" w:color="auto"/>
        <w:right w:val="none" w:sz="0" w:space="0" w:color="auto"/>
      </w:divBdr>
    </w:div>
    <w:div w:id="1009335106">
      <w:marLeft w:val="0"/>
      <w:marRight w:val="0"/>
      <w:marTop w:val="0"/>
      <w:marBottom w:val="0"/>
      <w:divBdr>
        <w:top w:val="none" w:sz="0" w:space="0" w:color="auto"/>
        <w:left w:val="none" w:sz="0" w:space="0" w:color="auto"/>
        <w:bottom w:val="none" w:sz="0" w:space="0" w:color="auto"/>
        <w:right w:val="none" w:sz="0" w:space="0" w:color="auto"/>
      </w:divBdr>
    </w:div>
    <w:div w:id="1052458225">
      <w:marLeft w:val="0"/>
      <w:marRight w:val="0"/>
      <w:marTop w:val="0"/>
      <w:marBottom w:val="0"/>
      <w:divBdr>
        <w:top w:val="none" w:sz="0" w:space="0" w:color="auto"/>
        <w:left w:val="none" w:sz="0" w:space="0" w:color="auto"/>
        <w:bottom w:val="none" w:sz="0" w:space="0" w:color="auto"/>
        <w:right w:val="none" w:sz="0" w:space="0" w:color="auto"/>
      </w:divBdr>
    </w:div>
    <w:div w:id="1167359065">
      <w:marLeft w:val="0"/>
      <w:marRight w:val="0"/>
      <w:marTop w:val="0"/>
      <w:marBottom w:val="0"/>
      <w:divBdr>
        <w:top w:val="none" w:sz="0" w:space="0" w:color="auto"/>
        <w:left w:val="none" w:sz="0" w:space="0" w:color="auto"/>
        <w:bottom w:val="none" w:sz="0" w:space="0" w:color="auto"/>
        <w:right w:val="none" w:sz="0" w:space="0" w:color="auto"/>
      </w:divBdr>
    </w:div>
    <w:div w:id="1450585510">
      <w:marLeft w:val="0"/>
      <w:marRight w:val="0"/>
      <w:marTop w:val="0"/>
      <w:marBottom w:val="0"/>
      <w:divBdr>
        <w:top w:val="none" w:sz="0" w:space="0" w:color="auto"/>
        <w:left w:val="none" w:sz="0" w:space="0" w:color="auto"/>
        <w:bottom w:val="none" w:sz="0" w:space="0" w:color="auto"/>
        <w:right w:val="none" w:sz="0" w:space="0" w:color="auto"/>
      </w:divBdr>
    </w:div>
    <w:div w:id="1466237909">
      <w:marLeft w:val="0"/>
      <w:marRight w:val="0"/>
      <w:marTop w:val="0"/>
      <w:marBottom w:val="0"/>
      <w:divBdr>
        <w:top w:val="none" w:sz="0" w:space="0" w:color="auto"/>
        <w:left w:val="none" w:sz="0" w:space="0" w:color="auto"/>
        <w:bottom w:val="none" w:sz="0" w:space="0" w:color="auto"/>
        <w:right w:val="none" w:sz="0" w:space="0" w:color="auto"/>
      </w:divBdr>
    </w:div>
    <w:div w:id="1490516448">
      <w:marLeft w:val="0"/>
      <w:marRight w:val="0"/>
      <w:marTop w:val="0"/>
      <w:marBottom w:val="0"/>
      <w:divBdr>
        <w:top w:val="none" w:sz="0" w:space="0" w:color="auto"/>
        <w:left w:val="none" w:sz="0" w:space="0" w:color="auto"/>
        <w:bottom w:val="none" w:sz="0" w:space="0" w:color="auto"/>
        <w:right w:val="none" w:sz="0" w:space="0" w:color="auto"/>
      </w:divBdr>
    </w:div>
    <w:div w:id="1708525282">
      <w:marLeft w:val="0"/>
      <w:marRight w:val="0"/>
      <w:marTop w:val="0"/>
      <w:marBottom w:val="0"/>
      <w:divBdr>
        <w:top w:val="none" w:sz="0" w:space="0" w:color="auto"/>
        <w:left w:val="none" w:sz="0" w:space="0" w:color="auto"/>
        <w:bottom w:val="none" w:sz="0" w:space="0" w:color="auto"/>
        <w:right w:val="none" w:sz="0" w:space="0" w:color="auto"/>
      </w:divBdr>
    </w:div>
    <w:div w:id="1720128469">
      <w:marLeft w:val="0"/>
      <w:marRight w:val="0"/>
      <w:marTop w:val="0"/>
      <w:marBottom w:val="0"/>
      <w:divBdr>
        <w:top w:val="none" w:sz="0" w:space="0" w:color="auto"/>
        <w:left w:val="none" w:sz="0" w:space="0" w:color="auto"/>
        <w:bottom w:val="none" w:sz="0" w:space="0" w:color="auto"/>
        <w:right w:val="none" w:sz="0" w:space="0" w:color="auto"/>
      </w:divBdr>
    </w:div>
    <w:div w:id="1965505801">
      <w:marLeft w:val="0"/>
      <w:marRight w:val="0"/>
      <w:marTop w:val="0"/>
      <w:marBottom w:val="0"/>
      <w:divBdr>
        <w:top w:val="none" w:sz="0" w:space="0" w:color="auto"/>
        <w:left w:val="none" w:sz="0" w:space="0" w:color="auto"/>
        <w:bottom w:val="none" w:sz="0" w:space="0" w:color="auto"/>
        <w:right w:val="none" w:sz="0" w:space="0" w:color="auto"/>
      </w:divBdr>
    </w:div>
    <w:div w:id="2023627572">
      <w:marLeft w:val="0"/>
      <w:marRight w:val="0"/>
      <w:marTop w:val="0"/>
      <w:marBottom w:val="0"/>
      <w:divBdr>
        <w:top w:val="none" w:sz="0" w:space="0" w:color="auto"/>
        <w:left w:val="none" w:sz="0" w:space="0" w:color="auto"/>
        <w:bottom w:val="none" w:sz="0" w:space="0" w:color="auto"/>
        <w:right w:val="none" w:sz="0" w:space="0" w:color="auto"/>
      </w:divBdr>
    </w:div>
    <w:div w:id="2111586761">
      <w:marLeft w:val="0"/>
      <w:marRight w:val="0"/>
      <w:marTop w:val="0"/>
      <w:marBottom w:val="0"/>
      <w:divBdr>
        <w:top w:val="none" w:sz="0" w:space="0" w:color="auto"/>
        <w:left w:val="none" w:sz="0" w:space="0" w:color="auto"/>
        <w:bottom w:val="none" w:sz="0" w:space="0" w:color="auto"/>
        <w:right w:val="none" w:sz="0" w:space="0" w:color="auto"/>
      </w:divBdr>
    </w:div>
    <w:div w:id="2134329327">
      <w:marLeft w:val="0"/>
      <w:marRight w:val="0"/>
      <w:marTop w:val="0"/>
      <w:marBottom w:val="0"/>
      <w:divBdr>
        <w:top w:val="none" w:sz="0" w:space="0" w:color="auto"/>
        <w:left w:val="none" w:sz="0" w:space="0" w:color="auto"/>
        <w:bottom w:val="none" w:sz="0" w:space="0" w:color="auto"/>
        <w:right w:val="none" w:sz="0" w:space="0" w:color="auto"/>
      </w:divBdr>
    </w:div>
    <w:div w:id="2137525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1531</Words>
  <Characters>9342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Lydik Rønde Almst</dc:creator>
  <cp:keywords/>
  <dc:description/>
  <cp:lastModifiedBy>Joakim Felix Peter Venndt</cp:lastModifiedBy>
  <cp:revision>2</cp:revision>
  <dcterms:created xsi:type="dcterms:W3CDTF">2020-09-21T08:41:00Z</dcterms:created>
  <dcterms:modified xsi:type="dcterms:W3CDTF">2020-09-21T08:41:00Z</dcterms:modified>
</cp:coreProperties>
</file>