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49E6" w14:textId="331A7D54" w:rsidR="00F80A3E" w:rsidRPr="00F80A3E" w:rsidRDefault="00F80A3E" w:rsidP="00F80A3E">
      <w:pPr>
        <w:pStyle w:val="Overskrift1"/>
        <w:rPr>
          <w:sz w:val="32"/>
        </w:rPr>
      </w:pPr>
      <w:bookmarkStart w:id="0" w:name="_Toc171495960"/>
      <w:r w:rsidRPr="00F80A3E">
        <w:rPr>
          <w:sz w:val="32"/>
        </w:rPr>
        <w:t xml:space="preserve">Instruks – </w:t>
      </w:r>
      <w:bookmarkEnd w:id="0"/>
      <w:r w:rsidR="00795AAF">
        <w:rPr>
          <w:sz w:val="32"/>
        </w:rPr>
        <w:t xml:space="preserve">Arbejdsmiljø – </w:t>
      </w:r>
      <w:r w:rsidRPr="00F80A3E">
        <w:rPr>
          <w:sz w:val="32"/>
        </w:rPr>
        <w:t xml:space="preserve">Forebyggelse og håndtering af stik- og skæreulykker  </w:t>
      </w:r>
    </w:p>
    <w:p w14:paraId="5F07D2DF" w14:textId="77777777" w:rsidR="00F80A3E" w:rsidRPr="00577E00" w:rsidRDefault="00F80A3E" w:rsidP="00F80A3E"/>
    <w:tbl>
      <w:tblPr>
        <w:tblStyle w:val="Tabel-Gitter"/>
        <w:tblW w:w="0" w:type="auto"/>
        <w:tblLook w:val="04A0" w:firstRow="1" w:lastRow="0" w:firstColumn="1" w:lastColumn="0" w:noHBand="0" w:noVBand="1"/>
        <w:tblDescription w:val="Medicininstruks"/>
      </w:tblPr>
      <w:tblGrid>
        <w:gridCol w:w="2263"/>
        <w:gridCol w:w="7365"/>
      </w:tblGrid>
      <w:tr w:rsidR="00F80A3E" w:rsidRPr="00AE3299" w14:paraId="270F9A0B" w14:textId="77777777" w:rsidTr="00547DBA">
        <w:trPr>
          <w:tblHeader/>
        </w:trPr>
        <w:tc>
          <w:tcPr>
            <w:tcW w:w="2263" w:type="dxa"/>
          </w:tcPr>
          <w:p w14:paraId="4A319871" w14:textId="77777777" w:rsidR="00F80A3E" w:rsidRPr="00AE3299" w:rsidRDefault="00F80A3E" w:rsidP="00337622">
            <w:pPr>
              <w:rPr>
                <w:color w:val="DBDBDB" w:themeColor="accent3" w:themeTint="66"/>
              </w:rPr>
            </w:pPr>
            <w:r w:rsidRPr="00AE3299">
              <w:rPr>
                <w:color w:val="DBDBDB" w:themeColor="accent3" w:themeTint="66"/>
              </w:rPr>
              <w:t>Emne</w:t>
            </w:r>
          </w:p>
        </w:tc>
        <w:tc>
          <w:tcPr>
            <w:tcW w:w="7365" w:type="dxa"/>
          </w:tcPr>
          <w:p w14:paraId="6BB20250" w14:textId="77777777" w:rsidR="00F80A3E" w:rsidRPr="00AE3299" w:rsidRDefault="00F80A3E" w:rsidP="00337622">
            <w:pPr>
              <w:rPr>
                <w:color w:val="DBDBDB" w:themeColor="accent3" w:themeTint="66"/>
              </w:rPr>
            </w:pPr>
            <w:r w:rsidRPr="00AE3299">
              <w:rPr>
                <w:color w:val="DBDBDB" w:themeColor="accent3" w:themeTint="66"/>
              </w:rPr>
              <w:t>Indhold</w:t>
            </w:r>
          </w:p>
        </w:tc>
      </w:tr>
      <w:tr w:rsidR="00F80A3E" w14:paraId="2BA97F82" w14:textId="77777777" w:rsidTr="005606C4">
        <w:tc>
          <w:tcPr>
            <w:tcW w:w="2263" w:type="dxa"/>
            <w:shd w:val="clear" w:color="auto" w:fill="FBE4D5" w:themeFill="accent2" w:themeFillTint="33"/>
          </w:tcPr>
          <w:p w14:paraId="1C956FE4" w14:textId="77777777" w:rsidR="00F80A3E" w:rsidRPr="00385227" w:rsidRDefault="00F80A3E" w:rsidP="00337622">
            <w:pPr>
              <w:rPr>
                <w:b/>
                <w:bCs/>
              </w:rPr>
            </w:pPr>
            <w:r w:rsidRPr="00385227">
              <w:rPr>
                <w:b/>
                <w:bCs/>
              </w:rPr>
              <w:t>Målgruppe</w:t>
            </w:r>
            <w:r>
              <w:rPr>
                <w:b/>
                <w:bCs/>
              </w:rPr>
              <w:t>:</w:t>
            </w:r>
          </w:p>
        </w:tc>
        <w:tc>
          <w:tcPr>
            <w:tcW w:w="7365" w:type="dxa"/>
          </w:tcPr>
          <w:p w14:paraId="05B92ABE" w14:textId="4F16A82D" w:rsidR="00F80A3E" w:rsidRPr="00D92117" w:rsidRDefault="00F80A3E" w:rsidP="00D92117">
            <w:pPr>
              <w:pStyle w:val="Default"/>
              <w:rPr>
                <w:sz w:val="22"/>
                <w:szCs w:val="22"/>
              </w:rPr>
            </w:pPr>
            <w:r>
              <w:rPr>
                <w:sz w:val="22"/>
                <w:szCs w:val="22"/>
              </w:rPr>
              <w:t xml:space="preserve">Alle medarbejdere der kommer i berøring med skarpe og spidse genstande, der er forurenet med patientmateriale. </w:t>
            </w:r>
          </w:p>
        </w:tc>
      </w:tr>
      <w:tr w:rsidR="00F80A3E" w14:paraId="13539FB3" w14:textId="77777777" w:rsidTr="005606C4">
        <w:tc>
          <w:tcPr>
            <w:tcW w:w="2263" w:type="dxa"/>
            <w:shd w:val="clear" w:color="auto" w:fill="FBE4D5" w:themeFill="accent2" w:themeFillTint="33"/>
          </w:tcPr>
          <w:p w14:paraId="61BBFE08" w14:textId="77777777" w:rsidR="00F80A3E" w:rsidRDefault="00F80A3E" w:rsidP="00337622">
            <w:pPr>
              <w:rPr>
                <w:b/>
                <w:bCs/>
              </w:rPr>
            </w:pPr>
            <w:r w:rsidRPr="00385227">
              <w:rPr>
                <w:b/>
                <w:bCs/>
              </w:rPr>
              <w:t>Senest revideret</w:t>
            </w:r>
            <w:r>
              <w:rPr>
                <w:b/>
                <w:bCs/>
              </w:rPr>
              <w:t>:</w:t>
            </w:r>
          </w:p>
        </w:tc>
        <w:tc>
          <w:tcPr>
            <w:tcW w:w="7365" w:type="dxa"/>
          </w:tcPr>
          <w:p w14:paraId="040D7524" w14:textId="1F95A536" w:rsidR="00F80A3E" w:rsidRDefault="00284190" w:rsidP="00337622">
            <w:r>
              <w:t>28. oktober 2026</w:t>
            </w:r>
          </w:p>
        </w:tc>
      </w:tr>
      <w:tr w:rsidR="00F80A3E" w14:paraId="4D41DC00" w14:textId="77777777" w:rsidTr="005606C4">
        <w:tc>
          <w:tcPr>
            <w:tcW w:w="2263" w:type="dxa"/>
            <w:shd w:val="clear" w:color="auto" w:fill="FBE4D5" w:themeFill="accent2" w:themeFillTint="33"/>
          </w:tcPr>
          <w:p w14:paraId="0A2263A8" w14:textId="77777777" w:rsidR="00F80A3E" w:rsidRPr="00385227" w:rsidRDefault="00F80A3E" w:rsidP="00337622">
            <w:pPr>
              <w:rPr>
                <w:b/>
                <w:bCs/>
              </w:rPr>
            </w:pPr>
            <w:r w:rsidRPr="00385227">
              <w:rPr>
                <w:b/>
                <w:bCs/>
              </w:rPr>
              <w:t>Udarbejdet af</w:t>
            </w:r>
            <w:r>
              <w:rPr>
                <w:b/>
                <w:bCs/>
              </w:rPr>
              <w:t>:</w:t>
            </w:r>
          </w:p>
        </w:tc>
        <w:tc>
          <w:tcPr>
            <w:tcW w:w="7365" w:type="dxa"/>
          </w:tcPr>
          <w:p w14:paraId="012E3C8A" w14:textId="77777777" w:rsidR="00284190" w:rsidRPr="00284190" w:rsidRDefault="00284190" w:rsidP="00284190">
            <w:pPr>
              <w:pStyle w:val="Default"/>
              <w:rPr>
                <w:sz w:val="22"/>
                <w:szCs w:val="22"/>
              </w:rPr>
            </w:pPr>
            <w:r w:rsidRPr="00284190">
              <w:rPr>
                <w:sz w:val="22"/>
                <w:szCs w:val="22"/>
              </w:rPr>
              <w:t xml:space="preserve">Revideret af sygeplejefaglig konsulent Pia Ravnsbæk Bjærge </w:t>
            </w:r>
          </w:p>
          <w:p w14:paraId="3D607590" w14:textId="7C123D6C" w:rsidR="00284190" w:rsidRDefault="00284190" w:rsidP="00284190">
            <w:pPr>
              <w:pStyle w:val="Default"/>
              <w:rPr>
                <w:sz w:val="22"/>
                <w:szCs w:val="22"/>
              </w:rPr>
            </w:pPr>
            <w:r>
              <w:rPr>
                <w:sz w:val="22"/>
                <w:szCs w:val="22"/>
              </w:rPr>
              <w:t>Instruksen vil løbende blive ajourført, og blive evalueret senest oktober 202</w:t>
            </w:r>
            <w:r w:rsidR="00E50458">
              <w:rPr>
                <w:sz w:val="22"/>
                <w:szCs w:val="22"/>
              </w:rPr>
              <w:t>6.</w:t>
            </w:r>
          </w:p>
          <w:p w14:paraId="6455DE66" w14:textId="40A24E53" w:rsidR="00F80A3E" w:rsidRDefault="00F80A3E" w:rsidP="00337622"/>
        </w:tc>
      </w:tr>
      <w:tr w:rsidR="00F80A3E" w14:paraId="572BF3C7" w14:textId="77777777" w:rsidTr="005606C4">
        <w:tc>
          <w:tcPr>
            <w:tcW w:w="2263" w:type="dxa"/>
            <w:shd w:val="clear" w:color="auto" w:fill="FBE4D5" w:themeFill="accent2" w:themeFillTint="33"/>
          </w:tcPr>
          <w:p w14:paraId="72A1C9E2" w14:textId="77777777" w:rsidR="00F80A3E" w:rsidRPr="00385227" w:rsidRDefault="00F80A3E" w:rsidP="00337622">
            <w:pPr>
              <w:rPr>
                <w:b/>
                <w:bCs/>
              </w:rPr>
            </w:pPr>
            <w:r w:rsidRPr="00385227">
              <w:rPr>
                <w:b/>
                <w:bCs/>
              </w:rPr>
              <w:t>Godkendt af</w:t>
            </w:r>
            <w:r>
              <w:rPr>
                <w:b/>
                <w:bCs/>
              </w:rPr>
              <w:t>:</w:t>
            </w:r>
          </w:p>
        </w:tc>
        <w:tc>
          <w:tcPr>
            <w:tcW w:w="7365" w:type="dxa"/>
          </w:tcPr>
          <w:p w14:paraId="2CB8D922" w14:textId="77777777" w:rsidR="00284190" w:rsidRDefault="00284190" w:rsidP="00284190">
            <w:pPr>
              <w:pStyle w:val="Default"/>
              <w:rPr>
                <w:sz w:val="22"/>
                <w:szCs w:val="22"/>
              </w:rPr>
            </w:pPr>
            <w:r>
              <w:rPr>
                <w:sz w:val="22"/>
                <w:szCs w:val="22"/>
              </w:rPr>
              <w:t xml:space="preserve">Godkendt af Arbejdsmiljøkoordinator Susanne Karup Hedegaard og Pia Ravnsbæk Bjærge </w:t>
            </w:r>
          </w:p>
          <w:p w14:paraId="143583CB" w14:textId="77777777" w:rsidR="00795AAF" w:rsidRDefault="00795AAF" w:rsidP="00284190">
            <w:pPr>
              <w:pStyle w:val="Default"/>
              <w:rPr>
                <w:sz w:val="22"/>
                <w:szCs w:val="22"/>
              </w:rPr>
            </w:pPr>
          </w:p>
          <w:p w14:paraId="521255F7" w14:textId="77777777" w:rsidR="00F80A3E" w:rsidRDefault="00795AAF" w:rsidP="00337622">
            <w:r w:rsidRPr="00795AAF">
              <w:rPr>
                <w:i/>
                <w:iCs/>
              </w:rPr>
              <w:t>Instruksen er godkendt til anvendelse på socialområdet af Sundhedsfagligt Forum den 10.12.2024</w:t>
            </w:r>
            <w:r>
              <w:t xml:space="preserve">. </w:t>
            </w:r>
          </w:p>
          <w:p w14:paraId="43CAD3CB" w14:textId="2A22CEC9" w:rsidR="00795AAF" w:rsidRDefault="00795AAF" w:rsidP="00337622"/>
        </w:tc>
      </w:tr>
      <w:tr w:rsidR="00F80A3E" w14:paraId="1F1E1DFF" w14:textId="77777777" w:rsidTr="005606C4">
        <w:tc>
          <w:tcPr>
            <w:tcW w:w="2263" w:type="dxa"/>
            <w:shd w:val="clear" w:color="auto" w:fill="FBE4D5" w:themeFill="accent2" w:themeFillTint="33"/>
          </w:tcPr>
          <w:p w14:paraId="4C33FBC0" w14:textId="77777777" w:rsidR="00F80A3E" w:rsidRPr="00385227" w:rsidRDefault="00F80A3E" w:rsidP="00337622">
            <w:pPr>
              <w:rPr>
                <w:b/>
                <w:bCs/>
              </w:rPr>
            </w:pPr>
            <w:r w:rsidRPr="00385227">
              <w:rPr>
                <w:b/>
                <w:bCs/>
              </w:rPr>
              <w:t>Revideres inden</w:t>
            </w:r>
            <w:r>
              <w:rPr>
                <w:b/>
                <w:bCs/>
              </w:rPr>
              <w:t>:</w:t>
            </w:r>
          </w:p>
        </w:tc>
        <w:tc>
          <w:tcPr>
            <w:tcW w:w="7365" w:type="dxa"/>
          </w:tcPr>
          <w:p w14:paraId="014DC228" w14:textId="2A2B3C4D" w:rsidR="005606C4" w:rsidRDefault="00D92117" w:rsidP="00337622">
            <w:r>
              <w:t>December</w:t>
            </w:r>
            <w:r w:rsidR="00F80A3E">
              <w:t xml:space="preserve"> 2026</w:t>
            </w:r>
          </w:p>
        </w:tc>
      </w:tr>
    </w:tbl>
    <w:p w14:paraId="23ED2D74" w14:textId="77777777" w:rsidR="00F80A3E" w:rsidRDefault="00F80A3E" w:rsidP="00B065E4"/>
    <w:p w14:paraId="5327E0F3" w14:textId="77777777" w:rsidR="00F80A3E" w:rsidRDefault="00F80A3E" w:rsidP="00B065E4"/>
    <w:tbl>
      <w:tblPr>
        <w:tblStyle w:val="Tabel-Gitter"/>
        <w:tblW w:w="0" w:type="auto"/>
        <w:tblLook w:val="04A0" w:firstRow="1" w:lastRow="0" w:firstColumn="1" w:lastColumn="0" w:noHBand="0" w:noVBand="1"/>
        <w:tblDescription w:val="Ansvar og kompetencer "/>
      </w:tblPr>
      <w:tblGrid>
        <w:gridCol w:w="2254"/>
        <w:gridCol w:w="7374"/>
      </w:tblGrid>
      <w:tr w:rsidR="00F80A3E" w:rsidRPr="00AE3299" w14:paraId="4B6BB3EC" w14:textId="77777777" w:rsidTr="00337622">
        <w:trPr>
          <w:tblHeader/>
        </w:trPr>
        <w:tc>
          <w:tcPr>
            <w:tcW w:w="2254" w:type="dxa"/>
          </w:tcPr>
          <w:p w14:paraId="26283966" w14:textId="77777777" w:rsidR="00F80A3E" w:rsidRPr="00AE3299" w:rsidRDefault="00F80A3E" w:rsidP="00337622">
            <w:pPr>
              <w:rPr>
                <w:color w:val="DBDBDB" w:themeColor="accent3" w:themeTint="66"/>
              </w:rPr>
            </w:pPr>
            <w:r w:rsidRPr="00AE3299">
              <w:rPr>
                <w:color w:val="DBDBDB" w:themeColor="accent3" w:themeTint="66"/>
              </w:rPr>
              <w:t>Ansvarsområde</w:t>
            </w:r>
          </w:p>
        </w:tc>
        <w:tc>
          <w:tcPr>
            <w:tcW w:w="7374" w:type="dxa"/>
          </w:tcPr>
          <w:p w14:paraId="702EB892" w14:textId="77777777" w:rsidR="00F80A3E" w:rsidRPr="00AE3299" w:rsidRDefault="00F80A3E" w:rsidP="00337622">
            <w:pPr>
              <w:rPr>
                <w:rFonts w:eastAsia="Arial"/>
                <w:color w:val="DBDBDB" w:themeColor="accent3" w:themeTint="66"/>
              </w:rPr>
            </w:pPr>
            <w:r w:rsidRPr="00AE3299">
              <w:rPr>
                <w:rFonts w:eastAsia="Arial"/>
                <w:color w:val="DBDBDB" w:themeColor="accent3" w:themeTint="66"/>
              </w:rPr>
              <w:t>Instruks</w:t>
            </w:r>
          </w:p>
        </w:tc>
      </w:tr>
      <w:tr w:rsidR="00F80A3E" w14:paraId="2DA1DDBF" w14:textId="77777777" w:rsidTr="005606C4">
        <w:tc>
          <w:tcPr>
            <w:tcW w:w="2254" w:type="dxa"/>
            <w:shd w:val="clear" w:color="auto" w:fill="FBE4D5" w:themeFill="accent2" w:themeFillTint="33"/>
          </w:tcPr>
          <w:p w14:paraId="7DE23A60" w14:textId="1AC80F22" w:rsidR="00F80A3E" w:rsidRPr="00F16341" w:rsidRDefault="00F80A3E" w:rsidP="00337622">
            <w:pPr>
              <w:pStyle w:val="BrevO2"/>
            </w:pPr>
            <w:r>
              <w:t>Formål</w:t>
            </w:r>
          </w:p>
        </w:tc>
        <w:tc>
          <w:tcPr>
            <w:tcW w:w="7374" w:type="dxa"/>
          </w:tcPr>
          <w:p w14:paraId="1BA76AFE" w14:textId="77777777" w:rsidR="00F80A3E" w:rsidRDefault="00F80A3E" w:rsidP="00F80A3E">
            <w:pPr>
              <w:pStyle w:val="Listeafsnit"/>
              <w:numPr>
                <w:ilvl w:val="0"/>
                <w:numId w:val="9"/>
              </w:numPr>
              <w:autoSpaceDE w:val="0"/>
              <w:autoSpaceDN w:val="0"/>
              <w:adjustRightInd w:val="0"/>
              <w:spacing w:after="0" w:line="240" w:lineRule="auto"/>
              <w:rPr>
                <w:rFonts w:eastAsia="Arial"/>
              </w:rPr>
            </w:pPr>
            <w:r w:rsidRPr="00F80A3E">
              <w:rPr>
                <w:rFonts w:eastAsia="Arial"/>
              </w:rPr>
              <w:t>At forebygge stik- og skæreulykker</w:t>
            </w:r>
          </w:p>
          <w:p w14:paraId="04C511D1" w14:textId="77777777" w:rsidR="00F80A3E" w:rsidRDefault="00F80A3E" w:rsidP="00F80A3E">
            <w:pPr>
              <w:pStyle w:val="Listeafsnit"/>
              <w:numPr>
                <w:ilvl w:val="0"/>
                <w:numId w:val="9"/>
              </w:numPr>
              <w:autoSpaceDE w:val="0"/>
              <w:autoSpaceDN w:val="0"/>
              <w:adjustRightInd w:val="0"/>
              <w:spacing w:after="0" w:line="240" w:lineRule="auto"/>
              <w:rPr>
                <w:rFonts w:eastAsia="Arial"/>
              </w:rPr>
            </w:pPr>
            <w:r w:rsidRPr="00F80A3E">
              <w:rPr>
                <w:rFonts w:eastAsia="Arial"/>
              </w:rPr>
              <w:t>At du som medarbejder kender proceduren, hvis du bliver involveret i e</w:t>
            </w:r>
            <w:r>
              <w:rPr>
                <w:rFonts w:eastAsia="Arial"/>
              </w:rPr>
              <w:t>n</w:t>
            </w:r>
            <w:r w:rsidRPr="00F80A3E">
              <w:rPr>
                <w:rFonts w:eastAsia="Arial"/>
              </w:rPr>
              <w:t xml:space="preserve"> stik- eller skæreulykke</w:t>
            </w:r>
          </w:p>
          <w:p w14:paraId="1F30C929" w14:textId="64B8F7D4" w:rsidR="00F80A3E" w:rsidRPr="00F80A3E" w:rsidRDefault="00F80A3E" w:rsidP="00F80A3E">
            <w:pPr>
              <w:pStyle w:val="Listeafsnit"/>
              <w:autoSpaceDE w:val="0"/>
              <w:autoSpaceDN w:val="0"/>
              <w:adjustRightInd w:val="0"/>
              <w:spacing w:after="0" w:line="240" w:lineRule="auto"/>
              <w:ind w:left="360"/>
              <w:rPr>
                <w:rFonts w:eastAsia="Arial"/>
              </w:rPr>
            </w:pPr>
          </w:p>
        </w:tc>
      </w:tr>
      <w:tr w:rsidR="00F80A3E" w14:paraId="4EF6B13A" w14:textId="77777777" w:rsidTr="005606C4">
        <w:tc>
          <w:tcPr>
            <w:tcW w:w="2254" w:type="dxa"/>
            <w:shd w:val="clear" w:color="auto" w:fill="FBE4D5" w:themeFill="accent2" w:themeFillTint="33"/>
          </w:tcPr>
          <w:p w14:paraId="35C4B68A" w14:textId="12DDA4FB" w:rsidR="00F80A3E" w:rsidRPr="00342417" w:rsidRDefault="00F80A3E" w:rsidP="00337622">
            <w:pPr>
              <w:pStyle w:val="BrevO2"/>
            </w:pPr>
            <w:r>
              <w:t>Forebyggelse af ulykker</w:t>
            </w:r>
          </w:p>
        </w:tc>
        <w:tc>
          <w:tcPr>
            <w:tcW w:w="7374" w:type="dxa"/>
          </w:tcPr>
          <w:p w14:paraId="7067C309" w14:textId="77777777" w:rsidR="00F80A3E" w:rsidRDefault="00F80A3E" w:rsidP="00F80A3E">
            <w:pPr>
              <w:rPr>
                <w:rFonts w:eastAsia="Arial"/>
              </w:rPr>
            </w:pPr>
            <w:r w:rsidRPr="00F80A3E">
              <w:rPr>
                <w:rFonts w:eastAsia="Arial"/>
              </w:rPr>
              <w:t>Håndtering af skarpe og spidse genstande, der er forurenet med patientmateriale, kan udgøre en smitterisiko.</w:t>
            </w:r>
          </w:p>
          <w:p w14:paraId="58E3584C" w14:textId="77777777" w:rsidR="00F80A3E" w:rsidRPr="00F80A3E" w:rsidRDefault="00F80A3E" w:rsidP="00F80A3E">
            <w:pPr>
              <w:rPr>
                <w:rFonts w:eastAsia="Arial"/>
              </w:rPr>
            </w:pPr>
          </w:p>
          <w:p w14:paraId="57B22D40" w14:textId="77777777" w:rsidR="00F80A3E" w:rsidRPr="00F80A3E" w:rsidRDefault="00F80A3E" w:rsidP="00F80A3E">
            <w:pPr>
              <w:rPr>
                <w:rFonts w:eastAsia="Arial"/>
                <w:b/>
                <w:bCs/>
              </w:rPr>
            </w:pPr>
            <w:r w:rsidRPr="00F80A3E">
              <w:rPr>
                <w:rFonts w:eastAsia="Arial"/>
                <w:b/>
                <w:bCs/>
              </w:rPr>
              <w:t>Minimering af smitterisiko</w:t>
            </w:r>
          </w:p>
          <w:p w14:paraId="697EC930" w14:textId="77777777" w:rsidR="00F80A3E" w:rsidRPr="00F80A3E" w:rsidRDefault="00F80A3E" w:rsidP="00F80A3E">
            <w:pPr>
              <w:rPr>
                <w:rFonts w:eastAsia="Arial"/>
              </w:rPr>
            </w:pPr>
            <w:r w:rsidRPr="00F80A3E">
              <w:rPr>
                <w:rFonts w:eastAsia="Arial"/>
              </w:rPr>
              <w:t>Smitterisikoen kan mindskes betydeligt, hvis du overholder nogle enkle regler, som fx forsvarlig omgang med stikkende og skærende genstande.</w:t>
            </w:r>
          </w:p>
          <w:p w14:paraId="3FF92794" w14:textId="77777777" w:rsidR="00F80A3E" w:rsidRPr="00F80A3E" w:rsidRDefault="00F80A3E" w:rsidP="00F80A3E">
            <w:pPr>
              <w:rPr>
                <w:rFonts w:eastAsia="Arial"/>
              </w:rPr>
            </w:pPr>
            <w:r w:rsidRPr="00F80A3E">
              <w:rPr>
                <w:rFonts w:eastAsia="Arial"/>
              </w:rPr>
              <w:t>Det vil sige:</w:t>
            </w:r>
          </w:p>
          <w:p w14:paraId="11A0D3E0" w14:textId="77777777" w:rsidR="00F80A3E" w:rsidRDefault="00F80A3E" w:rsidP="00F80A3E">
            <w:pPr>
              <w:pStyle w:val="Listeafsnit"/>
              <w:numPr>
                <w:ilvl w:val="0"/>
                <w:numId w:val="10"/>
              </w:numPr>
              <w:spacing w:after="0"/>
              <w:rPr>
                <w:rFonts w:eastAsia="Arial"/>
              </w:rPr>
            </w:pPr>
            <w:r w:rsidRPr="00F80A3E">
              <w:rPr>
                <w:rFonts w:eastAsia="Arial"/>
              </w:rPr>
              <w:t>Du bør behandle skarpe og spidse genstande med største forsigtighed i et velovervejet og roligt tempo, selv når du anvender handsker og pincet</w:t>
            </w:r>
          </w:p>
          <w:p w14:paraId="3DA411B2" w14:textId="77777777" w:rsidR="00F80A3E" w:rsidRDefault="00F80A3E" w:rsidP="00F80A3E">
            <w:pPr>
              <w:pStyle w:val="Listeafsnit"/>
              <w:numPr>
                <w:ilvl w:val="0"/>
                <w:numId w:val="10"/>
              </w:numPr>
              <w:spacing w:after="0"/>
              <w:rPr>
                <w:rFonts w:eastAsia="Arial"/>
              </w:rPr>
            </w:pPr>
            <w:r w:rsidRPr="00F80A3E">
              <w:rPr>
                <w:rFonts w:eastAsia="Arial"/>
              </w:rPr>
              <w:t>Du skal aldrig sætte beskyttelseshætten på en kanyle efter brug</w:t>
            </w:r>
          </w:p>
          <w:p w14:paraId="377FA9BE" w14:textId="77777777" w:rsidR="00F80A3E" w:rsidRDefault="00F80A3E" w:rsidP="00F80A3E">
            <w:pPr>
              <w:pStyle w:val="Listeafsnit"/>
              <w:numPr>
                <w:ilvl w:val="0"/>
                <w:numId w:val="10"/>
              </w:numPr>
              <w:spacing w:after="0"/>
              <w:rPr>
                <w:rFonts w:eastAsia="Arial"/>
              </w:rPr>
            </w:pPr>
            <w:r w:rsidRPr="00F80A3E">
              <w:rPr>
                <w:rFonts w:eastAsia="Arial"/>
              </w:rPr>
              <w:t>Skarpe og spidse genstande skal bortskaffes ved brugsstedet med det samme i brudsikre beholdere.</w:t>
            </w:r>
          </w:p>
          <w:p w14:paraId="329310C2" w14:textId="20C4EC25" w:rsidR="00F80A3E" w:rsidRPr="00F80A3E" w:rsidRDefault="00F80A3E" w:rsidP="00F80A3E">
            <w:pPr>
              <w:pStyle w:val="Listeafsnit"/>
              <w:spacing w:after="0"/>
              <w:ind w:left="360"/>
              <w:rPr>
                <w:rFonts w:eastAsia="Arial"/>
              </w:rPr>
            </w:pPr>
          </w:p>
        </w:tc>
      </w:tr>
      <w:tr w:rsidR="00F80A3E" w14:paraId="23F2BB5B" w14:textId="77777777" w:rsidTr="005606C4">
        <w:tc>
          <w:tcPr>
            <w:tcW w:w="2254" w:type="dxa"/>
            <w:shd w:val="clear" w:color="auto" w:fill="FBE4D5" w:themeFill="accent2" w:themeFillTint="33"/>
          </w:tcPr>
          <w:p w14:paraId="30637B1B" w14:textId="3A13A36B" w:rsidR="00F80A3E" w:rsidRDefault="00F80A3E" w:rsidP="00337622">
            <w:pPr>
              <w:pStyle w:val="BrevO2"/>
            </w:pPr>
            <w:r>
              <w:lastRenderedPageBreak/>
              <w:t>Instruks ved stik- og skæreulykker</w:t>
            </w:r>
          </w:p>
        </w:tc>
        <w:tc>
          <w:tcPr>
            <w:tcW w:w="7374" w:type="dxa"/>
          </w:tcPr>
          <w:p w14:paraId="389F5C70" w14:textId="77777777" w:rsidR="00F80A3E" w:rsidRDefault="00F80A3E" w:rsidP="00F80A3E">
            <w:pPr>
              <w:rPr>
                <w:rFonts w:eastAsia="Arial"/>
              </w:rPr>
            </w:pPr>
            <w:r w:rsidRPr="00F80A3E">
              <w:rPr>
                <w:rFonts w:eastAsia="Arial"/>
              </w:rPr>
              <w:t>Hvis du ved et uheld kommer til at stikke dig på en brugt kanyle eller lignende, kan der være en risiko for smitte med Hepatitis B &amp; C (leverbetændelse), HIV eller andre blodbårne sygdomme.</w:t>
            </w:r>
          </w:p>
          <w:p w14:paraId="14990FEF" w14:textId="77777777" w:rsidR="00F80A3E" w:rsidRPr="00F80A3E" w:rsidRDefault="00F80A3E" w:rsidP="00F80A3E">
            <w:pPr>
              <w:rPr>
                <w:rFonts w:eastAsia="Arial"/>
              </w:rPr>
            </w:pPr>
          </w:p>
          <w:p w14:paraId="54A9F606" w14:textId="77777777" w:rsidR="00F80A3E" w:rsidRDefault="00F80A3E" w:rsidP="00F80A3E">
            <w:pPr>
              <w:rPr>
                <w:rFonts w:eastAsia="Arial"/>
              </w:rPr>
            </w:pPr>
            <w:r w:rsidRPr="00F80A3E">
              <w:rPr>
                <w:rFonts w:eastAsia="Arial"/>
              </w:rPr>
              <w:t>Vær opmærksom på, at det ikke er enhver kontakt med inficeret blod, der betyder smitte.</w:t>
            </w:r>
          </w:p>
          <w:p w14:paraId="0B37262B" w14:textId="77777777" w:rsidR="00F80A3E" w:rsidRPr="00F80A3E" w:rsidRDefault="00F80A3E" w:rsidP="00F80A3E">
            <w:pPr>
              <w:rPr>
                <w:rFonts w:eastAsia="Arial"/>
              </w:rPr>
            </w:pPr>
          </w:p>
          <w:p w14:paraId="17502D02" w14:textId="77777777" w:rsidR="00F80A3E" w:rsidRPr="00F80A3E" w:rsidRDefault="00F80A3E" w:rsidP="00F80A3E">
            <w:pPr>
              <w:rPr>
                <w:rFonts w:eastAsia="Arial"/>
              </w:rPr>
            </w:pPr>
            <w:r w:rsidRPr="00F80A3E">
              <w:rPr>
                <w:rFonts w:eastAsia="Arial"/>
              </w:rPr>
              <w:t>Selv stik med en inficeret sprøjte vil yderst sjældent give smitte. Studier over nålestikuheld med HIV-inficeret blod viser en risiko på ca. 0,3% pr. stk. Der skal en større mængde blod til, før der er en reel risiko for smitte.</w:t>
            </w:r>
          </w:p>
          <w:p w14:paraId="79DB5D9F" w14:textId="77777777" w:rsidR="00F80A3E" w:rsidRPr="00F80A3E" w:rsidRDefault="00F80A3E" w:rsidP="00F80A3E">
            <w:pPr>
              <w:rPr>
                <w:rFonts w:eastAsia="Arial"/>
                <w:b/>
                <w:bCs/>
              </w:rPr>
            </w:pPr>
            <w:r w:rsidRPr="00F80A3E">
              <w:rPr>
                <w:rFonts w:eastAsia="Arial"/>
                <w:b/>
                <w:bCs/>
              </w:rPr>
              <w:t>Stik/snit m. kanyle/kniv, der er kontamineret med blod eller sekret</w:t>
            </w:r>
          </w:p>
          <w:p w14:paraId="6FA389EE" w14:textId="77777777" w:rsidR="00F80A3E" w:rsidRPr="00F80A3E" w:rsidRDefault="00F80A3E" w:rsidP="00F80A3E">
            <w:pPr>
              <w:rPr>
                <w:rFonts w:eastAsia="Arial"/>
              </w:rPr>
            </w:pPr>
            <w:r w:rsidRPr="00F80A3E">
              <w:rPr>
                <w:rFonts w:eastAsia="Arial"/>
              </w:rPr>
              <w:t>Efter ulykken skal du straks gøre følgende:</w:t>
            </w:r>
          </w:p>
          <w:p w14:paraId="3D442B26" w14:textId="77777777" w:rsidR="00F80A3E" w:rsidRDefault="00F80A3E" w:rsidP="005606C4">
            <w:pPr>
              <w:pStyle w:val="Listeafsnit"/>
              <w:numPr>
                <w:ilvl w:val="0"/>
                <w:numId w:val="10"/>
              </w:numPr>
              <w:spacing w:after="0"/>
              <w:rPr>
                <w:rFonts w:eastAsia="Arial"/>
              </w:rPr>
            </w:pPr>
            <w:r w:rsidRPr="00F80A3E">
              <w:rPr>
                <w:rFonts w:eastAsia="Arial"/>
              </w:rPr>
              <w:t>Pres hårdt omkring indstiksstedet – gerne så det bløder</w:t>
            </w:r>
          </w:p>
          <w:p w14:paraId="45287FCD" w14:textId="77777777" w:rsidR="00F80A3E" w:rsidRDefault="00F80A3E" w:rsidP="005606C4">
            <w:pPr>
              <w:pStyle w:val="Listeafsnit"/>
              <w:numPr>
                <w:ilvl w:val="0"/>
                <w:numId w:val="10"/>
              </w:numPr>
              <w:spacing w:after="0"/>
              <w:rPr>
                <w:rFonts w:eastAsia="Arial"/>
              </w:rPr>
            </w:pPr>
            <w:r w:rsidRPr="00F80A3E">
              <w:rPr>
                <w:rFonts w:eastAsia="Arial"/>
              </w:rPr>
              <w:t>Vask indstiksstedet grundigt med vand og alm. sæbe og tør af.</w:t>
            </w:r>
          </w:p>
          <w:p w14:paraId="02ECC294" w14:textId="77777777" w:rsidR="00F80A3E" w:rsidRDefault="00F80A3E" w:rsidP="005606C4">
            <w:pPr>
              <w:pStyle w:val="Listeafsnit"/>
              <w:numPr>
                <w:ilvl w:val="0"/>
                <w:numId w:val="10"/>
              </w:numPr>
              <w:spacing w:after="0"/>
              <w:rPr>
                <w:rFonts w:eastAsia="Arial"/>
              </w:rPr>
            </w:pPr>
            <w:r w:rsidRPr="00F80A3E">
              <w:rPr>
                <w:rFonts w:eastAsia="Arial"/>
              </w:rPr>
              <w:t>Påfør med hospitalssprit 70% - 2 gange. Huden skal være helt tør mellem påføringerne</w:t>
            </w:r>
          </w:p>
          <w:p w14:paraId="3790A227" w14:textId="77777777" w:rsidR="00F80A3E" w:rsidRDefault="00F80A3E" w:rsidP="005606C4">
            <w:pPr>
              <w:pStyle w:val="Listeafsnit"/>
              <w:numPr>
                <w:ilvl w:val="0"/>
                <w:numId w:val="10"/>
              </w:numPr>
              <w:spacing w:after="0"/>
              <w:rPr>
                <w:rFonts w:eastAsia="Arial"/>
              </w:rPr>
            </w:pPr>
            <w:r w:rsidRPr="00F80A3E">
              <w:rPr>
                <w:rFonts w:eastAsia="Arial"/>
              </w:rPr>
              <w:t>Tag kontakt til egen læge eller skadestue umiddelbart efter ulykken. Insister på at få taget en blodprøve inden evt. behandling påbegyndes med henblik på om stikulykken medfører en Hepatitis infektion eller anden sygdom</w:t>
            </w:r>
          </w:p>
          <w:p w14:paraId="7D89B91A" w14:textId="125B14C7" w:rsidR="00F80A3E" w:rsidRPr="00B40E14" w:rsidRDefault="00F80A3E" w:rsidP="005606C4">
            <w:pPr>
              <w:pStyle w:val="Listeafsnit"/>
              <w:numPr>
                <w:ilvl w:val="0"/>
                <w:numId w:val="10"/>
              </w:numPr>
              <w:spacing w:after="0"/>
              <w:rPr>
                <w:rFonts w:eastAsia="Arial"/>
              </w:rPr>
            </w:pPr>
            <w:r w:rsidRPr="00F80A3E">
              <w:rPr>
                <w:rFonts w:eastAsia="Arial"/>
              </w:rPr>
              <w:t>Ulykken skal registreres som en arbejdsskade</w:t>
            </w:r>
            <w:r w:rsidR="00B40E14">
              <w:rPr>
                <w:rFonts w:eastAsia="Arial"/>
              </w:rPr>
              <w:t xml:space="preserve"> i </w:t>
            </w:r>
            <w:proofErr w:type="spellStart"/>
            <w:r w:rsidR="00B40E14" w:rsidRPr="00B40E14">
              <w:rPr>
                <w:rFonts w:eastAsia="Arial"/>
              </w:rPr>
              <w:t>InsuBiz</w:t>
            </w:r>
            <w:proofErr w:type="spellEnd"/>
            <w:r w:rsidR="00B40E14" w:rsidRPr="00B40E14">
              <w:rPr>
                <w:rFonts w:eastAsia="Arial"/>
              </w:rPr>
              <w:t xml:space="preserve">, kontakt din AMR eller din nærmeste leder. </w:t>
            </w:r>
          </w:p>
          <w:p w14:paraId="73767EFE" w14:textId="64DAC3A6" w:rsidR="00F80A3E" w:rsidRPr="00F80A3E" w:rsidRDefault="00F80A3E" w:rsidP="00F80A3E">
            <w:pPr>
              <w:pStyle w:val="Listeafsnit"/>
              <w:spacing w:after="0"/>
              <w:ind w:left="360"/>
              <w:rPr>
                <w:rFonts w:eastAsia="Arial"/>
              </w:rPr>
            </w:pPr>
          </w:p>
        </w:tc>
      </w:tr>
      <w:tr w:rsidR="00F80A3E" w14:paraId="4A1B45BF" w14:textId="77777777" w:rsidTr="005606C4">
        <w:tc>
          <w:tcPr>
            <w:tcW w:w="2254" w:type="dxa"/>
            <w:shd w:val="clear" w:color="auto" w:fill="FBE4D5" w:themeFill="accent2" w:themeFillTint="33"/>
          </w:tcPr>
          <w:p w14:paraId="2C8DDBEE" w14:textId="07E7DA81" w:rsidR="00F80A3E" w:rsidRDefault="00F80A3E" w:rsidP="00337622">
            <w:pPr>
              <w:pStyle w:val="BrevO2"/>
            </w:pPr>
            <w:r>
              <w:t>Instruks ved blod, sekret eller vævsvæske i øjet</w:t>
            </w:r>
          </w:p>
        </w:tc>
        <w:tc>
          <w:tcPr>
            <w:tcW w:w="7374" w:type="dxa"/>
          </w:tcPr>
          <w:p w14:paraId="4C4AE16A" w14:textId="77777777" w:rsidR="00B40E14" w:rsidRDefault="00B40E14" w:rsidP="00B40E14">
            <w:pPr>
              <w:pStyle w:val="Default"/>
              <w:rPr>
                <w:sz w:val="22"/>
                <w:szCs w:val="22"/>
              </w:rPr>
            </w:pPr>
            <w:r>
              <w:rPr>
                <w:b/>
                <w:bCs/>
                <w:sz w:val="22"/>
                <w:szCs w:val="22"/>
              </w:rPr>
              <w:t xml:space="preserve">Hvis du får blod, sekret eller vævsvæske i øjet </w:t>
            </w:r>
          </w:p>
          <w:p w14:paraId="60CBBA90" w14:textId="77777777" w:rsidR="00B40E14" w:rsidRDefault="00B40E14" w:rsidP="00B40E14">
            <w:pPr>
              <w:pStyle w:val="Default"/>
              <w:rPr>
                <w:sz w:val="22"/>
                <w:szCs w:val="22"/>
              </w:rPr>
            </w:pPr>
            <w:r>
              <w:rPr>
                <w:sz w:val="22"/>
                <w:szCs w:val="22"/>
              </w:rPr>
              <w:t xml:space="preserve">Efter ulykken skal du straks gøre følgende: </w:t>
            </w:r>
          </w:p>
          <w:p w14:paraId="4371CC28" w14:textId="77777777" w:rsidR="00B40E14" w:rsidRPr="005606C4" w:rsidRDefault="00B40E14" w:rsidP="005606C4">
            <w:pPr>
              <w:pStyle w:val="Listeafsnit"/>
              <w:numPr>
                <w:ilvl w:val="0"/>
                <w:numId w:val="10"/>
              </w:numPr>
              <w:spacing w:after="0"/>
              <w:rPr>
                <w:rFonts w:eastAsia="Arial"/>
              </w:rPr>
            </w:pPr>
            <w:r w:rsidRPr="005606C4">
              <w:rPr>
                <w:rFonts w:eastAsia="Arial"/>
              </w:rPr>
              <w:t xml:space="preserve">Skyl grundigt med vand eller saltvand NaCl 0,9 %. (øjenskyllevæske) </w:t>
            </w:r>
          </w:p>
          <w:p w14:paraId="55BAD86F" w14:textId="77777777" w:rsidR="00B40E14" w:rsidRPr="005606C4" w:rsidRDefault="00B40E14" w:rsidP="005606C4">
            <w:pPr>
              <w:pStyle w:val="Listeafsnit"/>
              <w:numPr>
                <w:ilvl w:val="0"/>
                <w:numId w:val="10"/>
              </w:numPr>
              <w:spacing w:after="0"/>
              <w:rPr>
                <w:rFonts w:eastAsia="Arial"/>
              </w:rPr>
            </w:pPr>
            <w:r w:rsidRPr="005606C4">
              <w:rPr>
                <w:rFonts w:eastAsia="Arial"/>
              </w:rPr>
              <w:t>Tag kontakt til egen læge eller skadestue umiddelbart efter ulykken. Insister på at få taget en blodprøve inden evt. behandling påbegyndes med henblik på om stikulykken medfører en Hepatitis infektion eller anden sygdom.</w:t>
            </w:r>
          </w:p>
          <w:p w14:paraId="117B5243" w14:textId="77777777" w:rsidR="00F80A3E" w:rsidRDefault="00B40E14" w:rsidP="005606C4">
            <w:pPr>
              <w:pStyle w:val="Listeafsnit"/>
              <w:numPr>
                <w:ilvl w:val="0"/>
                <w:numId w:val="10"/>
              </w:numPr>
              <w:spacing w:after="0"/>
              <w:rPr>
                <w:rFonts w:eastAsia="Arial"/>
              </w:rPr>
            </w:pPr>
            <w:r w:rsidRPr="005606C4">
              <w:rPr>
                <w:rFonts w:eastAsia="Arial"/>
              </w:rPr>
              <w:t xml:space="preserve">Ulykken skal registreres som en arbejdsskade i </w:t>
            </w:r>
            <w:proofErr w:type="spellStart"/>
            <w:r w:rsidRPr="005606C4">
              <w:rPr>
                <w:rFonts w:eastAsia="Arial"/>
              </w:rPr>
              <w:t>InsuBiz</w:t>
            </w:r>
            <w:proofErr w:type="spellEnd"/>
            <w:r w:rsidRPr="005606C4">
              <w:rPr>
                <w:rFonts w:eastAsia="Arial"/>
              </w:rPr>
              <w:t xml:space="preserve">, </w:t>
            </w:r>
            <w:r w:rsidRPr="00B40E14">
              <w:rPr>
                <w:rFonts w:eastAsia="Arial"/>
              </w:rPr>
              <w:t xml:space="preserve">kontakt din AMR eller din nærmeste leder. </w:t>
            </w:r>
          </w:p>
          <w:p w14:paraId="593B1180" w14:textId="6820A7EA" w:rsidR="00B40E14" w:rsidRPr="00B40E14" w:rsidRDefault="00B40E14" w:rsidP="00B40E14">
            <w:pPr>
              <w:pStyle w:val="Listeafsnit"/>
              <w:spacing w:after="0"/>
              <w:ind w:left="360"/>
              <w:rPr>
                <w:rFonts w:eastAsia="Arial"/>
              </w:rPr>
            </w:pPr>
          </w:p>
        </w:tc>
      </w:tr>
      <w:tr w:rsidR="00F80A3E" w14:paraId="23AEB3E7" w14:textId="77777777" w:rsidTr="005606C4">
        <w:tc>
          <w:tcPr>
            <w:tcW w:w="2254" w:type="dxa"/>
            <w:shd w:val="clear" w:color="auto" w:fill="FBE4D5" w:themeFill="accent2" w:themeFillTint="33"/>
          </w:tcPr>
          <w:p w14:paraId="62F73C93" w14:textId="66EE3202" w:rsidR="00F80A3E" w:rsidRDefault="00F80A3E" w:rsidP="00337622">
            <w:pPr>
              <w:pStyle w:val="BrevO2"/>
            </w:pPr>
            <w:r>
              <w:t>Vaccination mod Hepatitis B efter ulykken</w:t>
            </w:r>
          </w:p>
        </w:tc>
        <w:tc>
          <w:tcPr>
            <w:tcW w:w="7374" w:type="dxa"/>
          </w:tcPr>
          <w:p w14:paraId="1182BC54" w14:textId="77777777" w:rsidR="00B40E14" w:rsidRDefault="00B40E14" w:rsidP="00B40E14">
            <w:pPr>
              <w:pStyle w:val="Default"/>
              <w:rPr>
                <w:sz w:val="22"/>
                <w:szCs w:val="22"/>
              </w:rPr>
            </w:pPr>
            <w:r>
              <w:rPr>
                <w:b/>
                <w:bCs/>
                <w:sz w:val="22"/>
                <w:szCs w:val="22"/>
              </w:rPr>
              <w:t xml:space="preserve">Vaccination mod Hepatitis B efter ulykken </w:t>
            </w:r>
          </w:p>
          <w:p w14:paraId="5F7F9577" w14:textId="77777777" w:rsidR="00B40E14" w:rsidRDefault="00B40E14" w:rsidP="00B40E14">
            <w:pPr>
              <w:pStyle w:val="Default"/>
              <w:rPr>
                <w:sz w:val="22"/>
                <w:szCs w:val="22"/>
              </w:rPr>
            </w:pPr>
            <w:r>
              <w:rPr>
                <w:sz w:val="22"/>
                <w:szCs w:val="22"/>
              </w:rPr>
              <w:t xml:space="preserve">Det er egen læge, der vurderer, om der skal foretages vaccination mod Hepatitis B. </w:t>
            </w:r>
          </w:p>
          <w:p w14:paraId="3C95E3DA" w14:textId="77777777" w:rsidR="00B40E14" w:rsidRDefault="00B40E14" w:rsidP="00B40E14">
            <w:pPr>
              <w:pStyle w:val="Default"/>
              <w:rPr>
                <w:sz w:val="22"/>
                <w:szCs w:val="22"/>
              </w:rPr>
            </w:pPr>
            <w:r>
              <w:rPr>
                <w:sz w:val="22"/>
                <w:szCs w:val="22"/>
              </w:rPr>
              <w:t xml:space="preserve">I givet fald vil den første dosis blive givet af egen læge eller lægen på skadestuen, derefter efter 1 måned, 2 måneder og 12 måneder efter ulykken. </w:t>
            </w:r>
          </w:p>
          <w:p w14:paraId="5D52F211" w14:textId="77777777" w:rsidR="00B40E14" w:rsidRDefault="00B40E14" w:rsidP="00B40E14">
            <w:pPr>
              <w:pStyle w:val="Default"/>
              <w:rPr>
                <w:sz w:val="22"/>
                <w:szCs w:val="22"/>
              </w:rPr>
            </w:pPr>
            <w:r>
              <w:rPr>
                <w:sz w:val="22"/>
                <w:szCs w:val="22"/>
              </w:rPr>
              <w:t xml:space="preserve">Gravide og ammende kvinder bør almindeligvis ikke vaccineres mod Hepatitis B. I tilfælde af stiklæsioner anbefales vaccination dog alligevel. </w:t>
            </w:r>
          </w:p>
          <w:p w14:paraId="33604C05" w14:textId="77777777" w:rsidR="00F80A3E" w:rsidRDefault="00B40E14" w:rsidP="00B40E14">
            <w:r>
              <w:t xml:space="preserve">Vaccinationen holder normalt 10-15 år. </w:t>
            </w:r>
          </w:p>
          <w:p w14:paraId="41DBADFE" w14:textId="4D31117B" w:rsidR="005606C4" w:rsidRPr="00BB3F11" w:rsidRDefault="005606C4" w:rsidP="00B40E14">
            <w:pPr>
              <w:rPr>
                <w:rFonts w:eastAsia="Arial"/>
                <w:strike/>
              </w:rPr>
            </w:pPr>
          </w:p>
        </w:tc>
      </w:tr>
      <w:tr w:rsidR="00F80A3E" w14:paraId="4F7469D0" w14:textId="77777777" w:rsidTr="005606C4">
        <w:tc>
          <w:tcPr>
            <w:tcW w:w="2254" w:type="dxa"/>
            <w:shd w:val="clear" w:color="auto" w:fill="FBE4D5" w:themeFill="accent2" w:themeFillTint="33"/>
          </w:tcPr>
          <w:p w14:paraId="5A0D216D" w14:textId="05AE4145" w:rsidR="00F80A3E" w:rsidRDefault="00F80A3E" w:rsidP="00337622">
            <w:pPr>
              <w:pStyle w:val="BrevO2"/>
            </w:pPr>
            <w:r>
              <w:lastRenderedPageBreak/>
              <w:t xml:space="preserve">Forebyggende behandling mod </w:t>
            </w:r>
            <w:proofErr w:type="spellStart"/>
            <w:r>
              <w:t>HIV-smitte</w:t>
            </w:r>
            <w:proofErr w:type="spellEnd"/>
            <w:r>
              <w:t>?</w:t>
            </w:r>
          </w:p>
        </w:tc>
        <w:tc>
          <w:tcPr>
            <w:tcW w:w="7374" w:type="dxa"/>
          </w:tcPr>
          <w:p w14:paraId="79D91E4B" w14:textId="77777777" w:rsidR="00B40E14" w:rsidRDefault="00B40E14" w:rsidP="00B40E14">
            <w:pPr>
              <w:pStyle w:val="Default"/>
              <w:rPr>
                <w:sz w:val="22"/>
                <w:szCs w:val="22"/>
              </w:rPr>
            </w:pPr>
            <w:r>
              <w:rPr>
                <w:b/>
                <w:bCs/>
                <w:sz w:val="22"/>
                <w:szCs w:val="22"/>
              </w:rPr>
              <w:t xml:space="preserve">Forebyggelse mod </w:t>
            </w:r>
            <w:proofErr w:type="spellStart"/>
            <w:r>
              <w:rPr>
                <w:b/>
                <w:bCs/>
                <w:sz w:val="22"/>
                <w:szCs w:val="22"/>
              </w:rPr>
              <w:t>HIV-smitte</w:t>
            </w:r>
            <w:proofErr w:type="spellEnd"/>
            <w:r>
              <w:rPr>
                <w:b/>
                <w:bCs/>
                <w:sz w:val="22"/>
                <w:szCs w:val="22"/>
              </w:rPr>
              <w:t xml:space="preserve"> </w:t>
            </w:r>
          </w:p>
          <w:p w14:paraId="196C2EC4" w14:textId="77777777" w:rsidR="00B40E14" w:rsidRDefault="00B40E14" w:rsidP="00B40E14">
            <w:pPr>
              <w:pStyle w:val="Default"/>
              <w:rPr>
                <w:sz w:val="22"/>
                <w:szCs w:val="22"/>
              </w:rPr>
            </w:pPr>
            <w:r>
              <w:rPr>
                <w:sz w:val="22"/>
                <w:szCs w:val="22"/>
              </w:rPr>
              <w:t xml:space="preserve">Hvis du bliver udsat for erkendt HIV-inficeret blod eller vævsvæsker ved stik, snit eller sprøjt, skal du vaske huden grundigt. </w:t>
            </w:r>
          </w:p>
          <w:p w14:paraId="664AD112" w14:textId="77777777" w:rsidR="00B40E14" w:rsidRPr="005606C4" w:rsidRDefault="00B40E14" w:rsidP="005606C4">
            <w:pPr>
              <w:pStyle w:val="Listeafsnit"/>
              <w:numPr>
                <w:ilvl w:val="0"/>
                <w:numId w:val="10"/>
              </w:numPr>
              <w:spacing w:after="0"/>
              <w:rPr>
                <w:rFonts w:eastAsia="Arial"/>
              </w:rPr>
            </w:pPr>
            <w:r w:rsidRPr="005606C4">
              <w:rPr>
                <w:rFonts w:eastAsia="Arial"/>
              </w:rPr>
              <w:t xml:space="preserve">Du bør straks efter uheldet kontakte egen læge eller skadestue, som vurderer risikoen for, om du er blevet smittet og beslutter hvilken behandling der evt. skal sættes i gang. </w:t>
            </w:r>
          </w:p>
          <w:p w14:paraId="5F437E66" w14:textId="77777777" w:rsidR="00B40E14" w:rsidRPr="005606C4" w:rsidRDefault="00B40E14" w:rsidP="005606C4">
            <w:pPr>
              <w:pStyle w:val="Listeafsnit"/>
              <w:numPr>
                <w:ilvl w:val="0"/>
                <w:numId w:val="10"/>
              </w:numPr>
              <w:spacing w:after="0"/>
              <w:rPr>
                <w:rFonts w:eastAsia="Arial"/>
              </w:rPr>
            </w:pPr>
            <w:r w:rsidRPr="005606C4">
              <w:rPr>
                <w:rFonts w:eastAsia="Arial"/>
              </w:rPr>
              <w:t xml:space="preserve">Hvis du skal have foretaget en HIV-test, skal den gentages efter 3 og 6 måneder. </w:t>
            </w:r>
          </w:p>
          <w:p w14:paraId="44C833B4" w14:textId="77777777" w:rsidR="00F80A3E" w:rsidRPr="00BB3F11" w:rsidRDefault="00F80A3E" w:rsidP="00F80A3E">
            <w:pPr>
              <w:rPr>
                <w:rFonts w:eastAsia="Arial"/>
                <w:strike/>
              </w:rPr>
            </w:pPr>
          </w:p>
        </w:tc>
      </w:tr>
      <w:tr w:rsidR="00F80A3E" w14:paraId="0B347AEE" w14:textId="77777777" w:rsidTr="005606C4">
        <w:tc>
          <w:tcPr>
            <w:tcW w:w="2254" w:type="dxa"/>
            <w:shd w:val="clear" w:color="auto" w:fill="FBE4D5" w:themeFill="accent2" w:themeFillTint="33"/>
          </w:tcPr>
          <w:p w14:paraId="7C80B353" w14:textId="7DEE683E" w:rsidR="00F80A3E" w:rsidRDefault="00B40E14" w:rsidP="00337622">
            <w:pPr>
              <w:pStyle w:val="BrevO2"/>
            </w:pPr>
            <w:r>
              <w:t>Supplerende information</w:t>
            </w:r>
          </w:p>
        </w:tc>
        <w:tc>
          <w:tcPr>
            <w:tcW w:w="7374" w:type="dxa"/>
          </w:tcPr>
          <w:p w14:paraId="674CE062" w14:textId="73BF38A7" w:rsidR="005606C4" w:rsidRPr="005606C4" w:rsidRDefault="00000000" w:rsidP="005606C4">
            <w:pPr>
              <w:pStyle w:val="Default"/>
              <w:numPr>
                <w:ilvl w:val="0"/>
                <w:numId w:val="17"/>
              </w:numPr>
              <w:rPr>
                <w:sz w:val="22"/>
                <w:szCs w:val="22"/>
              </w:rPr>
            </w:pPr>
            <w:hyperlink r:id="rId8" w:history="1">
              <w:r w:rsidR="005606C4" w:rsidRPr="006D73B9">
                <w:rPr>
                  <w:rStyle w:val="Hyperlink"/>
                  <w:i/>
                  <w:iCs/>
                  <w:sz w:val="22"/>
                  <w:szCs w:val="22"/>
                </w:rPr>
                <w:t>Vejledning</w:t>
              </w:r>
              <w:r w:rsidR="005606C4">
                <w:rPr>
                  <w:rStyle w:val="Hyperlink"/>
                  <w:i/>
                  <w:iCs/>
                  <w:sz w:val="22"/>
                  <w:szCs w:val="22"/>
                </w:rPr>
                <w:t xml:space="preserve"> </w:t>
              </w:r>
              <w:r w:rsidR="005606C4" w:rsidRPr="006D73B9">
                <w:rPr>
                  <w:rStyle w:val="Hyperlink"/>
                  <w:i/>
                  <w:iCs/>
                  <w:sz w:val="22"/>
                  <w:szCs w:val="22"/>
                </w:rPr>
                <w:t>om</w:t>
              </w:r>
              <w:r w:rsidR="005606C4">
                <w:rPr>
                  <w:rStyle w:val="Hyperlink"/>
                  <w:i/>
                  <w:iCs/>
                  <w:sz w:val="22"/>
                  <w:szCs w:val="22"/>
                </w:rPr>
                <w:t xml:space="preserve"> </w:t>
              </w:r>
              <w:proofErr w:type="gramStart"/>
              <w:r w:rsidR="005606C4" w:rsidRPr="006D73B9">
                <w:rPr>
                  <w:rStyle w:val="Hyperlink"/>
                  <w:i/>
                  <w:iCs/>
                  <w:sz w:val="22"/>
                  <w:szCs w:val="22"/>
                </w:rPr>
                <w:t>HIV</w:t>
              </w:r>
              <w:r w:rsidR="005606C4">
                <w:rPr>
                  <w:rStyle w:val="Hyperlink"/>
                  <w:i/>
                  <w:iCs/>
                  <w:sz w:val="22"/>
                  <w:szCs w:val="22"/>
                </w:rPr>
                <w:t xml:space="preserve"> </w:t>
              </w:r>
              <w:r w:rsidR="005606C4" w:rsidRPr="006D73B9">
                <w:rPr>
                  <w:rStyle w:val="Hyperlink"/>
                  <w:i/>
                  <w:iCs/>
                  <w:sz w:val="22"/>
                  <w:szCs w:val="22"/>
                </w:rPr>
                <w:t>hepatitis</w:t>
              </w:r>
              <w:proofErr w:type="gramEnd"/>
              <w:r w:rsidR="005606C4">
                <w:rPr>
                  <w:rStyle w:val="Hyperlink"/>
                  <w:i/>
                  <w:iCs/>
                  <w:sz w:val="22"/>
                  <w:szCs w:val="22"/>
                </w:rPr>
                <w:t xml:space="preserve"> </w:t>
              </w:r>
              <w:r w:rsidR="005606C4" w:rsidRPr="006D73B9">
                <w:rPr>
                  <w:rStyle w:val="Hyperlink"/>
                  <w:i/>
                  <w:iCs/>
                  <w:sz w:val="22"/>
                  <w:szCs w:val="22"/>
                </w:rPr>
                <w:t>B-</w:t>
              </w:r>
              <w:r w:rsidR="005606C4">
                <w:rPr>
                  <w:rStyle w:val="Hyperlink"/>
                  <w:i/>
                  <w:iCs/>
                  <w:sz w:val="22"/>
                  <w:szCs w:val="22"/>
                </w:rPr>
                <w:t xml:space="preserve"> </w:t>
              </w:r>
              <w:r w:rsidR="005606C4" w:rsidRPr="006D73B9">
                <w:rPr>
                  <w:rStyle w:val="Hyperlink"/>
                  <w:i/>
                  <w:iCs/>
                  <w:sz w:val="22"/>
                  <w:szCs w:val="22"/>
                </w:rPr>
                <w:t>og</w:t>
              </w:r>
              <w:r w:rsidR="005606C4">
                <w:rPr>
                  <w:rStyle w:val="Hyperlink"/>
                  <w:i/>
                  <w:iCs/>
                  <w:sz w:val="22"/>
                  <w:szCs w:val="22"/>
                </w:rPr>
                <w:t xml:space="preserve"> </w:t>
              </w:r>
              <w:r w:rsidR="005606C4" w:rsidRPr="006D73B9">
                <w:rPr>
                  <w:rStyle w:val="Hyperlink"/>
                  <w:i/>
                  <w:iCs/>
                  <w:sz w:val="22"/>
                  <w:szCs w:val="22"/>
                </w:rPr>
                <w:t>C-virus</w:t>
              </w:r>
            </w:hyperlink>
            <w:r w:rsidR="005606C4">
              <w:rPr>
                <w:i/>
                <w:iCs/>
                <w:sz w:val="22"/>
                <w:szCs w:val="22"/>
              </w:rPr>
              <w:t xml:space="preserve"> </w:t>
            </w:r>
            <w:r w:rsidR="00B40E14">
              <w:rPr>
                <w:i/>
                <w:iCs/>
                <w:sz w:val="22"/>
                <w:szCs w:val="22"/>
              </w:rPr>
              <w:t xml:space="preserve"> </w:t>
            </w:r>
            <w:r w:rsidR="00B40E14">
              <w:rPr>
                <w:sz w:val="22"/>
                <w:szCs w:val="22"/>
              </w:rPr>
              <w:t xml:space="preserve">Sundhedsstyrelsen, 2013 </w:t>
            </w:r>
          </w:p>
          <w:p w14:paraId="706C70E8" w14:textId="77777777" w:rsidR="00F80A3E" w:rsidRPr="00BB3F11" w:rsidRDefault="00F80A3E" w:rsidP="00F80A3E">
            <w:pPr>
              <w:rPr>
                <w:rFonts w:eastAsia="Arial"/>
                <w:strike/>
              </w:rPr>
            </w:pPr>
          </w:p>
        </w:tc>
      </w:tr>
    </w:tbl>
    <w:p w14:paraId="2AC01667" w14:textId="77777777" w:rsidR="00F80A3E" w:rsidRPr="00B065E4" w:rsidRDefault="00F80A3E" w:rsidP="00B065E4"/>
    <w:sectPr w:rsidR="00F80A3E" w:rsidRPr="00B065E4">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1E4A" w14:textId="77777777" w:rsidR="006F3806" w:rsidRDefault="006F3806" w:rsidP="00F80A3E">
      <w:pPr>
        <w:spacing w:after="0" w:line="240" w:lineRule="auto"/>
      </w:pPr>
      <w:r>
        <w:separator/>
      </w:r>
    </w:p>
  </w:endnote>
  <w:endnote w:type="continuationSeparator" w:id="0">
    <w:p w14:paraId="58E3394D" w14:textId="77777777" w:rsidR="006F3806" w:rsidRDefault="006F3806" w:rsidP="00F8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E31A" w14:textId="77777777" w:rsidR="006F3806" w:rsidRDefault="006F3806" w:rsidP="00F80A3E">
      <w:pPr>
        <w:spacing w:after="0" w:line="240" w:lineRule="auto"/>
      </w:pPr>
      <w:r>
        <w:separator/>
      </w:r>
    </w:p>
  </w:footnote>
  <w:footnote w:type="continuationSeparator" w:id="0">
    <w:p w14:paraId="3464EC09" w14:textId="77777777" w:rsidR="006F3806" w:rsidRDefault="006F3806" w:rsidP="00F80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A02D" w14:textId="77777777" w:rsidR="00F80A3E" w:rsidRDefault="00F80A3E" w:rsidP="00F80A3E">
    <w:pPr>
      <w:pStyle w:val="Sidehoved"/>
    </w:pPr>
    <w:r>
      <w:rPr>
        <w:noProof/>
      </w:rPr>
      <w:drawing>
        <wp:inline distT="0" distB="0" distL="0" distR="0" wp14:anchorId="4B9E9C76" wp14:editId="1EE54AF6">
          <wp:extent cx="1647825" cy="142875"/>
          <wp:effectExtent l="0" t="0" r="9525" b="9525"/>
          <wp:docPr id="8" name="Billed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42875"/>
                  </a:xfrm>
                  <a:prstGeom prst="rect">
                    <a:avLst/>
                  </a:prstGeom>
                  <a:noFill/>
                  <a:ln>
                    <a:noFill/>
                  </a:ln>
                </pic:spPr>
              </pic:pic>
            </a:graphicData>
          </a:graphic>
        </wp:inline>
      </w:drawing>
    </w:r>
    <w:r>
      <w:tab/>
    </w:r>
    <w:r>
      <w:tab/>
    </w:r>
    <w:r>
      <w:rPr>
        <w:noProof/>
      </w:rPr>
      <w:drawing>
        <wp:inline distT="0" distB="0" distL="0" distR="0" wp14:anchorId="5D798F04" wp14:editId="1B706984">
          <wp:extent cx="600075" cy="714375"/>
          <wp:effectExtent l="0" t="0" r="9525" b="9525"/>
          <wp:docPr id="9" name="Billed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24E532B" w14:textId="77777777" w:rsidR="00F80A3E" w:rsidRDefault="00F80A3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FA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1B2ECD"/>
    <w:multiLevelType w:val="hybridMultilevel"/>
    <w:tmpl w:val="4B5A53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B12F0A"/>
    <w:multiLevelType w:val="hybridMultilevel"/>
    <w:tmpl w:val="92509E2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A507D20"/>
    <w:multiLevelType w:val="hybridMultilevel"/>
    <w:tmpl w:val="F848A1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44811BF"/>
    <w:multiLevelType w:val="hybridMultilevel"/>
    <w:tmpl w:val="F2C28C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4B4A9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744C7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CE2A0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0E57F60"/>
    <w:multiLevelType w:val="hybridMultilevel"/>
    <w:tmpl w:val="9B6859C0"/>
    <w:lvl w:ilvl="0" w:tplc="04060001">
      <w:start w:val="1"/>
      <w:numFmt w:val="bullet"/>
      <w:lvlText w:val=""/>
      <w:lvlJc w:val="left"/>
      <w:pPr>
        <w:ind w:left="787" w:hanging="360"/>
      </w:pPr>
      <w:rPr>
        <w:rFonts w:ascii="Symbol" w:hAnsi="Symbol" w:hint="default"/>
      </w:rPr>
    </w:lvl>
    <w:lvl w:ilvl="1" w:tplc="04060003" w:tentative="1">
      <w:start w:val="1"/>
      <w:numFmt w:val="bullet"/>
      <w:lvlText w:val="o"/>
      <w:lvlJc w:val="left"/>
      <w:pPr>
        <w:ind w:left="1507" w:hanging="360"/>
      </w:pPr>
      <w:rPr>
        <w:rFonts w:ascii="Courier New" w:hAnsi="Courier New" w:cs="Courier New" w:hint="default"/>
      </w:rPr>
    </w:lvl>
    <w:lvl w:ilvl="2" w:tplc="04060005" w:tentative="1">
      <w:start w:val="1"/>
      <w:numFmt w:val="bullet"/>
      <w:lvlText w:val=""/>
      <w:lvlJc w:val="left"/>
      <w:pPr>
        <w:ind w:left="2227" w:hanging="360"/>
      </w:pPr>
      <w:rPr>
        <w:rFonts w:ascii="Wingdings" w:hAnsi="Wingdings" w:hint="default"/>
      </w:rPr>
    </w:lvl>
    <w:lvl w:ilvl="3" w:tplc="04060001" w:tentative="1">
      <w:start w:val="1"/>
      <w:numFmt w:val="bullet"/>
      <w:lvlText w:val=""/>
      <w:lvlJc w:val="left"/>
      <w:pPr>
        <w:ind w:left="2947" w:hanging="360"/>
      </w:pPr>
      <w:rPr>
        <w:rFonts w:ascii="Symbol" w:hAnsi="Symbol" w:hint="default"/>
      </w:rPr>
    </w:lvl>
    <w:lvl w:ilvl="4" w:tplc="04060003" w:tentative="1">
      <w:start w:val="1"/>
      <w:numFmt w:val="bullet"/>
      <w:lvlText w:val="o"/>
      <w:lvlJc w:val="left"/>
      <w:pPr>
        <w:ind w:left="3667" w:hanging="360"/>
      </w:pPr>
      <w:rPr>
        <w:rFonts w:ascii="Courier New" w:hAnsi="Courier New" w:cs="Courier New" w:hint="default"/>
      </w:rPr>
    </w:lvl>
    <w:lvl w:ilvl="5" w:tplc="04060005" w:tentative="1">
      <w:start w:val="1"/>
      <w:numFmt w:val="bullet"/>
      <w:lvlText w:val=""/>
      <w:lvlJc w:val="left"/>
      <w:pPr>
        <w:ind w:left="4387" w:hanging="360"/>
      </w:pPr>
      <w:rPr>
        <w:rFonts w:ascii="Wingdings" w:hAnsi="Wingdings" w:hint="default"/>
      </w:rPr>
    </w:lvl>
    <w:lvl w:ilvl="6" w:tplc="04060001" w:tentative="1">
      <w:start w:val="1"/>
      <w:numFmt w:val="bullet"/>
      <w:lvlText w:val=""/>
      <w:lvlJc w:val="left"/>
      <w:pPr>
        <w:ind w:left="5107" w:hanging="360"/>
      </w:pPr>
      <w:rPr>
        <w:rFonts w:ascii="Symbol" w:hAnsi="Symbol" w:hint="default"/>
      </w:rPr>
    </w:lvl>
    <w:lvl w:ilvl="7" w:tplc="04060003" w:tentative="1">
      <w:start w:val="1"/>
      <w:numFmt w:val="bullet"/>
      <w:lvlText w:val="o"/>
      <w:lvlJc w:val="left"/>
      <w:pPr>
        <w:ind w:left="5827" w:hanging="360"/>
      </w:pPr>
      <w:rPr>
        <w:rFonts w:ascii="Courier New" w:hAnsi="Courier New" w:cs="Courier New" w:hint="default"/>
      </w:rPr>
    </w:lvl>
    <w:lvl w:ilvl="8" w:tplc="04060005" w:tentative="1">
      <w:start w:val="1"/>
      <w:numFmt w:val="bullet"/>
      <w:lvlText w:val=""/>
      <w:lvlJc w:val="left"/>
      <w:pPr>
        <w:ind w:left="6547" w:hanging="360"/>
      </w:pPr>
      <w:rPr>
        <w:rFonts w:ascii="Wingdings" w:hAnsi="Wingdings" w:hint="default"/>
      </w:rPr>
    </w:lvl>
  </w:abstractNum>
  <w:abstractNum w:abstractNumId="10" w15:restartNumberingAfterBreak="0">
    <w:nsid w:val="65571057"/>
    <w:multiLevelType w:val="hybridMultilevel"/>
    <w:tmpl w:val="15C4626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672309F0"/>
    <w:multiLevelType w:val="hybridMultilevel"/>
    <w:tmpl w:val="B9C403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90F60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45526B8"/>
    <w:multiLevelType w:val="hybridMultilevel"/>
    <w:tmpl w:val="180AC0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5A226EF"/>
    <w:multiLevelType w:val="hybridMultilevel"/>
    <w:tmpl w:val="C08653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FD26A13"/>
    <w:multiLevelType w:val="hybridMultilevel"/>
    <w:tmpl w:val="3CE693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66080611">
    <w:abstractNumId w:val="12"/>
  </w:num>
  <w:num w:numId="2" w16cid:durableId="566766855">
    <w:abstractNumId w:val="4"/>
  </w:num>
  <w:num w:numId="3" w16cid:durableId="394280406">
    <w:abstractNumId w:val="9"/>
  </w:num>
  <w:num w:numId="4" w16cid:durableId="914782850">
    <w:abstractNumId w:val="1"/>
  </w:num>
  <w:num w:numId="5" w16cid:durableId="1812166716">
    <w:abstractNumId w:val="15"/>
  </w:num>
  <w:num w:numId="6" w16cid:durableId="576328671">
    <w:abstractNumId w:val="16"/>
  </w:num>
  <w:num w:numId="7" w16cid:durableId="1539197654">
    <w:abstractNumId w:val="3"/>
  </w:num>
  <w:num w:numId="8" w16cid:durableId="2002467889">
    <w:abstractNumId w:val="13"/>
  </w:num>
  <w:num w:numId="9" w16cid:durableId="419299787">
    <w:abstractNumId w:val="10"/>
  </w:num>
  <w:num w:numId="10" w16cid:durableId="1051617529">
    <w:abstractNumId w:val="14"/>
  </w:num>
  <w:num w:numId="11" w16cid:durableId="356394358">
    <w:abstractNumId w:val="11"/>
  </w:num>
  <w:num w:numId="12" w16cid:durableId="941031963">
    <w:abstractNumId w:val="6"/>
  </w:num>
  <w:num w:numId="13" w16cid:durableId="1940945284">
    <w:abstractNumId w:val="2"/>
  </w:num>
  <w:num w:numId="14" w16cid:durableId="1493788007">
    <w:abstractNumId w:val="7"/>
  </w:num>
  <w:num w:numId="15" w16cid:durableId="1042365524">
    <w:abstractNumId w:val="8"/>
  </w:num>
  <w:num w:numId="16" w16cid:durableId="765688136">
    <w:abstractNumId w:val="0"/>
  </w:num>
  <w:num w:numId="17" w16cid:durableId="735053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2-04T10:09:05.5085625+01:00&quot;,&quot;Checksum&quot;:&quot;7dcf037b2a993434a94c46339fafc7e1&quot;,&quot;IsAccessible&quot;:true,&quot;Settings&quot;:{&quot;CreatePdfUa&quot;:2}}"/>
    <w:docVar w:name="Encrypted_CloudStatistics_StoryID" w:val="uweER9joI+ub6Eg7377OQuMEOFTE6EMDbnVGF5bLOclUdMN21l4dsLot0SbwyKxi"/>
  </w:docVars>
  <w:rsids>
    <w:rsidRoot w:val="00F80A3E"/>
    <w:rsid w:val="00000197"/>
    <w:rsid w:val="00026A2F"/>
    <w:rsid w:val="00054019"/>
    <w:rsid w:val="000709EE"/>
    <w:rsid w:val="000936E1"/>
    <w:rsid w:val="000D2EDD"/>
    <w:rsid w:val="000F1719"/>
    <w:rsid w:val="0017025C"/>
    <w:rsid w:val="001C3517"/>
    <w:rsid w:val="00220F62"/>
    <w:rsid w:val="00231828"/>
    <w:rsid w:val="00243D7F"/>
    <w:rsid w:val="002514C0"/>
    <w:rsid w:val="00274BBE"/>
    <w:rsid w:val="00276922"/>
    <w:rsid w:val="00276DE1"/>
    <w:rsid w:val="00284190"/>
    <w:rsid w:val="002D4B0A"/>
    <w:rsid w:val="002E78DD"/>
    <w:rsid w:val="002F0D0E"/>
    <w:rsid w:val="0033655E"/>
    <w:rsid w:val="003A392B"/>
    <w:rsid w:val="003B0C7B"/>
    <w:rsid w:val="003B62D8"/>
    <w:rsid w:val="003E0EF6"/>
    <w:rsid w:val="003E49D9"/>
    <w:rsid w:val="003F15B5"/>
    <w:rsid w:val="0041481E"/>
    <w:rsid w:val="00432D40"/>
    <w:rsid w:val="00455117"/>
    <w:rsid w:val="004E20F1"/>
    <w:rsid w:val="005134C4"/>
    <w:rsid w:val="00543D6F"/>
    <w:rsid w:val="00544B2B"/>
    <w:rsid w:val="00547DBA"/>
    <w:rsid w:val="005606C4"/>
    <w:rsid w:val="00561775"/>
    <w:rsid w:val="005914A8"/>
    <w:rsid w:val="00597CC9"/>
    <w:rsid w:val="005C4D25"/>
    <w:rsid w:val="005C4EC2"/>
    <w:rsid w:val="005C5B17"/>
    <w:rsid w:val="005E7C80"/>
    <w:rsid w:val="00603994"/>
    <w:rsid w:val="00610B7C"/>
    <w:rsid w:val="006378A5"/>
    <w:rsid w:val="00666F95"/>
    <w:rsid w:val="00667645"/>
    <w:rsid w:val="006A4619"/>
    <w:rsid w:val="006F3806"/>
    <w:rsid w:val="006F5B38"/>
    <w:rsid w:val="00701696"/>
    <w:rsid w:val="00732BEB"/>
    <w:rsid w:val="00773E87"/>
    <w:rsid w:val="00787009"/>
    <w:rsid w:val="00795AAF"/>
    <w:rsid w:val="007C4F2F"/>
    <w:rsid w:val="007D2876"/>
    <w:rsid w:val="007D4798"/>
    <w:rsid w:val="007F1645"/>
    <w:rsid w:val="00802086"/>
    <w:rsid w:val="008731AA"/>
    <w:rsid w:val="00884868"/>
    <w:rsid w:val="008E5007"/>
    <w:rsid w:val="009016E6"/>
    <w:rsid w:val="00910A72"/>
    <w:rsid w:val="00914DB1"/>
    <w:rsid w:val="0093428B"/>
    <w:rsid w:val="00975907"/>
    <w:rsid w:val="009B24FF"/>
    <w:rsid w:val="009C19D6"/>
    <w:rsid w:val="00A26A87"/>
    <w:rsid w:val="00A9527D"/>
    <w:rsid w:val="00A96958"/>
    <w:rsid w:val="00AC0E67"/>
    <w:rsid w:val="00B065E4"/>
    <w:rsid w:val="00B2455F"/>
    <w:rsid w:val="00B257DC"/>
    <w:rsid w:val="00B40E14"/>
    <w:rsid w:val="00B40E3E"/>
    <w:rsid w:val="00B6387C"/>
    <w:rsid w:val="00C15955"/>
    <w:rsid w:val="00C20C48"/>
    <w:rsid w:val="00C95685"/>
    <w:rsid w:val="00CF3959"/>
    <w:rsid w:val="00D35B1D"/>
    <w:rsid w:val="00D5554B"/>
    <w:rsid w:val="00D8092E"/>
    <w:rsid w:val="00D92117"/>
    <w:rsid w:val="00DA043B"/>
    <w:rsid w:val="00DE02E4"/>
    <w:rsid w:val="00DF25A6"/>
    <w:rsid w:val="00E10A47"/>
    <w:rsid w:val="00E50458"/>
    <w:rsid w:val="00E9551B"/>
    <w:rsid w:val="00E96DE6"/>
    <w:rsid w:val="00EA4F7F"/>
    <w:rsid w:val="00ED253D"/>
    <w:rsid w:val="00F80A3E"/>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D8A5F"/>
  <w15:chartTrackingRefBased/>
  <w15:docId w15:val="{E34DCE4E-F524-45A9-B657-B470AAB8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A3E"/>
    <w:pPr>
      <w:spacing w:line="259" w:lineRule="auto"/>
    </w:pPr>
    <w:rPr>
      <w:kern w:val="2"/>
      <w14:ligatures w14:val="standardContextual"/>
    </w:r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styleId="Sidehoved">
    <w:name w:val="header"/>
    <w:basedOn w:val="Normal"/>
    <w:link w:val="SidehovedTegn"/>
    <w:uiPriority w:val="99"/>
    <w:unhideWhenUsed/>
    <w:rsid w:val="00F80A3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80A3E"/>
    <w:rPr>
      <w:kern w:val="2"/>
      <w14:ligatures w14:val="standardContextual"/>
    </w:rPr>
  </w:style>
  <w:style w:type="paragraph" w:styleId="Sidefod">
    <w:name w:val="footer"/>
    <w:basedOn w:val="Normal"/>
    <w:link w:val="SidefodTegn"/>
    <w:uiPriority w:val="99"/>
    <w:unhideWhenUsed/>
    <w:rsid w:val="00F80A3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80A3E"/>
    <w:rPr>
      <w:kern w:val="2"/>
      <w14:ligatures w14:val="standardContextual"/>
    </w:rPr>
  </w:style>
  <w:style w:type="paragraph" w:customStyle="1" w:styleId="Default">
    <w:name w:val="Default"/>
    <w:rsid w:val="00F80A3E"/>
    <w:pPr>
      <w:autoSpaceDE w:val="0"/>
      <w:autoSpaceDN w:val="0"/>
      <w:adjustRightInd w:val="0"/>
      <w:spacing w:after="0" w:line="240" w:lineRule="auto"/>
    </w:pPr>
    <w:rPr>
      <w:rFonts w:cs="Calibri"/>
      <w:color w:val="000000"/>
      <w:sz w:val="24"/>
      <w:szCs w:val="24"/>
    </w:rPr>
  </w:style>
  <w:style w:type="character" w:styleId="Ulstomtale">
    <w:name w:val="Unresolved Mention"/>
    <w:basedOn w:val="Standardskrifttypeiafsnit"/>
    <w:uiPriority w:val="99"/>
    <w:semiHidden/>
    <w:unhideWhenUsed/>
    <w:rsid w:val="00560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t.dk/-/media/Udgivelser/2013/Publ2013/Vejledning-om-HIV-hepatitis-B-og-C-virus.ash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3534</Characters>
  <Application>Microsoft Office Word</Application>
  <DocSecurity>0</DocSecurity>
  <Lines>114</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 Arbejdsmiljø – Forebyggelse og håndtering af stik- og skæreulykker  </dc:title>
  <dc:subject/>
  <dc:creator>Anne Bull Skov</dc:creator>
  <cp:keywords/>
  <dc:description/>
  <cp:lastModifiedBy>Jesper Kjersgaard Nielsen</cp:lastModifiedBy>
  <cp:revision>2</cp:revision>
  <dcterms:created xsi:type="dcterms:W3CDTF">2025-02-04T09:09:00Z</dcterms:created>
  <dcterms:modified xsi:type="dcterms:W3CDTF">2025-02-04T09:09:00Z</dcterms:modified>
</cp:coreProperties>
</file>