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275"/>
        <w:gridCol w:w="6804"/>
        <w:gridCol w:w="3544"/>
      </w:tblGrid>
      <w:tr w:rsidR="00B02FE1" w:rsidTr="00C228D8">
        <w:tc>
          <w:tcPr>
            <w:tcW w:w="567" w:type="dxa"/>
          </w:tcPr>
          <w:p w:rsidR="00B02FE1" w:rsidRPr="00BC3F0F" w:rsidRDefault="00B02FE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2978" w:type="dxa"/>
          </w:tcPr>
          <w:p w:rsidR="00B02FE1" w:rsidRPr="008E2F2B" w:rsidRDefault="00B02FE1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5" w:type="dxa"/>
          </w:tcPr>
          <w:p w:rsidR="00B02FE1" w:rsidRPr="00BC3F0F" w:rsidRDefault="00B02FE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6804" w:type="dxa"/>
          </w:tcPr>
          <w:p w:rsidR="00B02FE1" w:rsidRPr="00BC3F0F" w:rsidRDefault="00B02FE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3544" w:type="dxa"/>
          </w:tcPr>
          <w:p w:rsidR="00B02FE1" w:rsidRPr="00BC3F0F" w:rsidRDefault="00B02FE1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2978" w:type="dxa"/>
          </w:tcPr>
          <w:p w:rsidR="00B02FE1" w:rsidRPr="008E2F2B" w:rsidRDefault="00B02FE1" w:rsidP="00A46DA1">
            <w:pPr>
              <w:rPr>
                <w:b/>
              </w:rPr>
            </w:pPr>
            <w:r>
              <w:rPr>
                <w:b/>
              </w:rPr>
              <w:t>Godkendelse af dagsorden og notering af punkter til evt.</w:t>
            </w:r>
          </w:p>
        </w:tc>
        <w:tc>
          <w:tcPr>
            <w:tcW w:w="1275" w:type="dxa"/>
          </w:tcPr>
          <w:p w:rsidR="00B02FE1" w:rsidRDefault="00B02FE1" w:rsidP="00A46DA1">
            <w:r>
              <w:t>Mødeleder</w:t>
            </w:r>
          </w:p>
        </w:tc>
        <w:tc>
          <w:tcPr>
            <w:tcW w:w="6804" w:type="dxa"/>
          </w:tcPr>
          <w:p w:rsidR="00B02FE1" w:rsidRDefault="00B02FE1" w:rsidP="00A46DA1"/>
        </w:tc>
        <w:tc>
          <w:tcPr>
            <w:tcW w:w="3544" w:type="dxa"/>
          </w:tcPr>
          <w:p w:rsidR="00B02FE1" w:rsidRDefault="00B02FE1" w:rsidP="00A46DA1"/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2978" w:type="dxa"/>
          </w:tcPr>
          <w:p w:rsidR="00B02FE1" w:rsidRPr="008E2F2B" w:rsidRDefault="00B02FE1" w:rsidP="00F92E5F">
            <w:pPr>
              <w:rPr>
                <w:b/>
              </w:rPr>
            </w:pPr>
            <w:r>
              <w:rPr>
                <w:b/>
              </w:rPr>
              <w:t xml:space="preserve">Info om kommunens rygerstoptilbud til voksne v. </w:t>
            </w:r>
            <w:r w:rsidRPr="00F92E5F">
              <w:rPr>
                <w:b/>
              </w:rPr>
              <w:t xml:space="preserve">rygestoprådgiver Janne </w:t>
            </w:r>
            <w:proofErr w:type="spellStart"/>
            <w:r w:rsidRPr="00F92E5F">
              <w:rPr>
                <w:b/>
              </w:rPr>
              <w:t>Nelleman</w:t>
            </w:r>
            <w:proofErr w:type="spellEnd"/>
            <w:r w:rsidRPr="00F92E5F">
              <w:rPr>
                <w:b/>
              </w:rPr>
              <w:t>, SFE</w:t>
            </w:r>
          </w:p>
        </w:tc>
        <w:tc>
          <w:tcPr>
            <w:tcW w:w="1275" w:type="dxa"/>
          </w:tcPr>
          <w:p w:rsidR="00B02FE1" w:rsidRDefault="00B02FE1" w:rsidP="00A46DA1">
            <w:r>
              <w:t>Rikke</w:t>
            </w:r>
          </w:p>
        </w:tc>
        <w:tc>
          <w:tcPr>
            <w:tcW w:w="6804" w:type="dxa"/>
          </w:tcPr>
          <w:p w:rsidR="00B02FE1" w:rsidRPr="00E96F7B" w:rsidRDefault="00B02FE1" w:rsidP="00A46DA1">
            <w:pPr>
              <w:rPr>
                <w:b/>
              </w:rPr>
            </w:pPr>
            <w:r>
              <w:t xml:space="preserve">Janne orienterede om kommunens tilbud ift. rygestop. </w:t>
            </w:r>
            <w:r w:rsidRPr="00E96F7B">
              <w:rPr>
                <w:b/>
              </w:rPr>
              <w:t xml:space="preserve">Se vedhæftede slides. </w:t>
            </w:r>
          </w:p>
          <w:p w:rsidR="00B02FE1" w:rsidRDefault="00B02FE1" w:rsidP="00A46DA1">
            <w:bookmarkStart w:id="0" w:name="_GoBack"/>
            <w:bookmarkEnd w:id="0"/>
          </w:p>
          <w:p w:rsidR="00B02FE1" w:rsidRDefault="00B02FE1" w:rsidP="00365DC7"/>
        </w:tc>
        <w:tc>
          <w:tcPr>
            <w:tcW w:w="3544" w:type="dxa"/>
          </w:tcPr>
          <w:p w:rsidR="00B02FE1" w:rsidRDefault="00B02FE1" w:rsidP="00B02FE1">
            <w:r>
              <w:t>Alle skal h</w:t>
            </w:r>
            <w:r>
              <w:t>usk</w:t>
            </w:r>
            <w:r>
              <w:t>e</w:t>
            </w:r>
            <w:r>
              <w:t xml:space="preserve"> at vinge i etableringsbesøget, om barnet er udsat for passiv rygning. Vælg rediger og udfyld skemaet. Data fra disse registreringer ryger i Databasen Børns Sundhed, og det er en SKAL-opgave </w:t>
            </w:r>
            <w:r>
              <w:t xml:space="preserve">for kommuner </w:t>
            </w:r>
            <w:r>
              <w:t>at indrapportere dette.</w:t>
            </w:r>
          </w:p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8" w:type="dxa"/>
          </w:tcPr>
          <w:p w:rsidR="00B02FE1" w:rsidRDefault="00B02FE1" w:rsidP="00046D30">
            <w:pPr>
              <w:rPr>
                <w:b/>
              </w:rPr>
            </w:pPr>
            <w:r>
              <w:rPr>
                <w:b/>
              </w:rPr>
              <w:t>Purhus projektet</w:t>
            </w:r>
            <w:r>
              <w:t xml:space="preserve"> </w:t>
            </w:r>
            <w:r w:rsidRPr="00EA3C27">
              <w:rPr>
                <w:b/>
              </w:rPr>
              <w:t>v.</w:t>
            </w:r>
            <w:r>
              <w:rPr>
                <w:b/>
              </w:rPr>
              <w:t xml:space="preserve"> Karen Marie og Kaspe</w:t>
            </w:r>
            <w:r w:rsidRPr="00EA3C27">
              <w:rPr>
                <w:b/>
              </w:rPr>
              <w:t>r fra Purhus</w:t>
            </w:r>
            <w:r>
              <w:t xml:space="preserve"> IF</w:t>
            </w:r>
          </w:p>
        </w:tc>
        <w:tc>
          <w:tcPr>
            <w:tcW w:w="1275" w:type="dxa"/>
          </w:tcPr>
          <w:p w:rsidR="00B02FE1" w:rsidRDefault="00B02FE1" w:rsidP="00EA3C27">
            <w:r>
              <w:t xml:space="preserve">Elsebeth </w:t>
            </w:r>
          </w:p>
        </w:tc>
        <w:tc>
          <w:tcPr>
            <w:tcW w:w="6804" w:type="dxa"/>
          </w:tcPr>
          <w:p w:rsidR="00B02FE1" w:rsidRDefault="00B02FE1" w:rsidP="00A46DA1">
            <w:r>
              <w:t>Punktet udgik.</w:t>
            </w:r>
          </w:p>
        </w:tc>
        <w:tc>
          <w:tcPr>
            <w:tcW w:w="3544" w:type="dxa"/>
          </w:tcPr>
          <w:p w:rsidR="00B02FE1" w:rsidRDefault="00B02FE1" w:rsidP="00A46DA1"/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>
              <w:rPr>
                <w:b/>
              </w:rPr>
              <w:t>4</w:t>
            </w:r>
            <w:r w:rsidRPr="00783014">
              <w:rPr>
                <w:b/>
              </w:rPr>
              <w:t>.</w:t>
            </w:r>
          </w:p>
        </w:tc>
        <w:tc>
          <w:tcPr>
            <w:tcW w:w="2978" w:type="dxa"/>
          </w:tcPr>
          <w:p w:rsidR="00B02FE1" w:rsidRPr="008E2F2B" w:rsidRDefault="00B02FE1" w:rsidP="00F92E5F">
            <w:pPr>
              <w:rPr>
                <w:b/>
              </w:rPr>
            </w:pPr>
            <w:r>
              <w:rPr>
                <w:b/>
              </w:rPr>
              <w:t>Nyt fra audit</w:t>
            </w:r>
          </w:p>
        </w:tc>
        <w:tc>
          <w:tcPr>
            <w:tcW w:w="1275" w:type="dxa"/>
          </w:tcPr>
          <w:p w:rsidR="00B02FE1" w:rsidRDefault="00B02FE1" w:rsidP="00A46DA1">
            <w:r>
              <w:t>Heidi A</w:t>
            </w:r>
          </w:p>
        </w:tc>
        <w:tc>
          <w:tcPr>
            <w:tcW w:w="6804" w:type="dxa"/>
          </w:tcPr>
          <w:p w:rsidR="00B02FE1" w:rsidRDefault="00B02FE1" w:rsidP="00A46DA1">
            <w:r>
              <w:t>Der har været 7 genindlæggelser</w:t>
            </w:r>
            <w:r w:rsidR="00C228D8">
              <w:t xml:space="preserve"> siden sidste audit</w:t>
            </w:r>
            <w:r>
              <w:t xml:space="preserve">, heraf med </w:t>
            </w:r>
            <w:proofErr w:type="spellStart"/>
            <w:r>
              <w:t>icterus</w:t>
            </w:r>
            <w:proofErr w:type="spellEnd"/>
            <w:r>
              <w:t xml:space="preserve">, som der ikke laves audit på. I ingen af genindlæggelserne er der bemærkninger til sundhedsplejens arbejde. </w:t>
            </w:r>
          </w:p>
          <w:p w:rsidR="00B02FE1" w:rsidRDefault="00B02FE1" w:rsidP="00A46DA1"/>
          <w:p w:rsidR="00B02FE1" w:rsidRDefault="00B02FE1" w:rsidP="00A46DA1">
            <w:r>
              <w:t xml:space="preserve">Mælkeplan; forældrene får en fysisk mælkeplan med hjem, hvis der er behov for supplering og/eller </w:t>
            </w:r>
            <w:proofErr w:type="spellStart"/>
            <w:r>
              <w:t>udmalkning</w:t>
            </w:r>
            <w:proofErr w:type="spellEnd"/>
            <w:r>
              <w:t>. Vi kan spørge forældrene om lov til at se den, så vi kan se, hvad der er aftalt med personalet på sygehuset.</w:t>
            </w:r>
          </w:p>
          <w:p w:rsidR="00B02FE1" w:rsidRDefault="00B02FE1" w:rsidP="00A46DA1"/>
          <w:p w:rsidR="00B02FE1" w:rsidRDefault="00B02FE1" w:rsidP="00973039">
            <w:r>
              <w:t xml:space="preserve">Hvis der er </w:t>
            </w:r>
            <w:r w:rsidR="00C228D8">
              <w:t>forældre</w:t>
            </w:r>
            <w:r>
              <w:t xml:space="preserve">, som tager hjem fra fødegangen før tid, uden at amningen er etableret, så spørg dem gerne om årsagen hertil. Meld tilbage til Heidi på mail. Audit-gruppen vil følge op på dette </w:t>
            </w:r>
            <w:proofErr w:type="spellStart"/>
            <w:r>
              <w:t>mhp</w:t>
            </w:r>
            <w:proofErr w:type="spellEnd"/>
            <w:r w:rsidR="00C228D8">
              <w:t>.</w:t>
            </w:r>
            <w:r>
              <w:t xml:space="preserve"> at undgå genindlæggelser af denne gruppe. </w:t>
            </w:r>
          </w:p>
          <w:p w:rsidR="00B02FE1" w:rsidRDefault="00B02FE1" w:rsidP="00973039"/>
          <w:p w:rsidR="00B02FE1" w:rsidRDefault="00B02FE1" w:rsidP="00C228D8">
            <w:r>
              <w:t>Vedr. ny anbefaling om højhydrolyseret erstatning, så er der talt med hospitalet</w:t>
            </w:r>
            <w:r w:rsidR="00C228D8">
              <w:t xml:space="preserve"> om, hvordan</w:t>
            </w:r>
            <w:r>
              <w:t xml:space="preserve"> de griber det an. Neo giver hydrolyseret til alle børn født efter uge 32 og </w:t>
            </w:r>
            <w:r w:rsidR="00C228D8">
              <w:t>Familieafdelingen</w:t>
            </w:r>
            <w:r>
              <w:t xml:space="preserve"> </w:t>
            </w:r>
            <w:r w:rsidR="00C228D8">
              <w:t>h</w:t>
            </w:r>
            <w:r>
              <w:t>avde ikke hørt om det, men vil fr</w:t>
            </w:r>
            <w:r w:rsidR="00C228D8">
              <w:t>emadrettet</w:t>
            </w:r>
            <w:r>
              <w:t xml:space="preserve"> give højhydrolyseret erstatning. Hvis vi oplever, at det ikke sker, skal AL have besked.</w:t>
            </w:r>
          </w:p>
        </w:tc>
        <w:tc>
          <w:tcPr>
            <w:tcW w:w="3544" w:type="dxa"/>
          </w:tcPr>
          <w:p w:rsidR="00B02FE1" w:rsidRDefault="00B02FE1" w:rsidP="00A46DA1"/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>
              <w:rPr>
                <w:b/>
              </w:rPr>
              <w:t>5</w:t>
            </w:r>
            <w:r w:rsidRPr="00783014">
              <w:rPr>
                <w:b/>
              </w:rPr>
              <w:t>.</w:t>
            </w:r>
          </w:p>
        </w:tc>
        <w:tc>
          <w:tcPr>
            <w:tcW w:w="2978" w:type="dxa"/>
          </w:tcPr>
          <w:p w:rsidR="00B02FE1" w:rsidRPr="008E2F2B" w:rsidRDefault="00B02FE1" w:rsidP="00E54682">
            <w:pPr>
              <w:rPr>
                <w:b/>
              </w:rPr>
            </w:pPr>
            <w:r>
              <w:rPr>
                <w:b/>
              </w:rPr>
              <w:t>Evt.</w:t>
            </w:r>
          </w:p>
        </w:tc>
        <w:tc>
          <w:tcPr>
            <w:tcW w:w="1275" w:type="dxa"/>
          </w:tcPr>
          <w:p w:rsidR="00B02FE1" w:rsidRDefault="00B02FE1" w:rsidP="00DF182C">
            <w:r>
              <w:t>Mødeleder</w:t>
            </w:r>
          </w:p>
        </w:tc>
        <w:tc>
          <w:tcPr>
            <w:tcW w:w="6804" w:type="dxa"/>
          </w:tcPr>
          <w:p w:rsidR="00B02FE1" w:rsidRDefault="00B02FE1" w:rsidP="00A46DA1">
            <w:r>
              <w:t>Fødselsdepressionsindsatsen har kørt et år nu og kører endnu et år. Vi er oppe på at EPDS</w:t>
            </w:r>
            <w:r w:rsidR="00C228D8">
              <w:t>-</w:t>
            </w:r>
            <w:r>
              <w:t>score knap 80 %. Målet er at nå op på</w:t>
            </w:r>
            <w:r w:rsidR="00C228D8">
              <w:t xml:space="preserve">, at </w:t>
            </w:r>
            <w:r>
              <w:t>90 %</w:t>
            </w:r>
            <w:r w:rsidR="00C228D8">
              <w:t xml:space="preserve"> bliver </w:t>
            </w:r>
            <w:r w:rsidR="00C228D8">
              <w:lastRenderedPageBreak/>
              <w:t>screenet</w:t>
            </w:r>
            <w:r>
              <w:t xml:space="preserve">. For dem, som ikke screenes, </w:t>
            </w:r>
            <w:r w:rsidRPr="00C228D8">
              <w:rPr>
                <w:b/>
              </w:rPr>
              <w:t>skal</w:t>
            </w:r>
            <w:r>
              <w:t xml:space="preserve"> det registreres hvorfor der ikke er screenet: sprogbarriere eller ”ønsker ikke screening”. </w:t>
            </w:r>
            <w:r w:rsidR="00C228D8">
              <w:t xml:space="preserve">På opfordring fra Vibeke </w:t>
            </w:r>
            <w:r>
              <w:t xml:space="preserve">oprettes </w:t>
            </w:r>
            <w:r w:rsidR="00C228D8">
              <w:t xml:space="preserve">der </w:t>
            </w:r>
            <w:r>
              <w:t xml:space="preserve">en tredje mulighed: Ikke relevant pga. andet forløb. Pt. mangler der registreringer på ca. 10 %. </w:t>
            </w:r>
          </w:p>
          <w:p w:rsidR="00B02FE1" w:rsidRDefault="00B02FE1" w:rsidP="00A46DA1"/>
          <w:p w:rsidR="00B02FE1" w:rsidRDefault="00B02FE1" w:rsidP="00A46DA1">
            <w:r>
              <w:t xml:space="preserve">Der kommer et opslag på Facebook </w:t>
            </w:r>
            <w:r w:rsidR="00C228D8">
              <w:t>torsdag</w:t>
            </w:r>
            <w:r>
              <w:t xml:space="preserve"> om </w:t>
            </w:r>
            <w:proofErr w:type="spellStart"/>
            <w:r>
              <w:t>fædregrupper</w:t>
            </w:r>
            <w:proofErr w:type="spellEnd"/>
            <w:r>
              <w:t xml:space="preserve">. Alle er meget velkomne til at like og dele. </w:t>
            </w:r>
          </w:p>
          <w:p w:rsidR="00B02FE1" w:rsidRDefault="00B02FE1" w:rsidP="00A46DA1"/>
          <w:p w:rsidR="00B02FE1" w:rsidRDefault="00B02FE1" w:rsidP="00A46DA1">
            <w:r>
              <w:t xml:space="preserve">Heidi har været nede i Operaen en time i mandags til barselscafe. Det fungerede godt. Vagterne vil blive fordelt senere til et fordelingsmøde. </w:t>
            </w:r>
          </w:p>
          <w:p w:rsidR="00B02FE1" w:rsidRDefault="00B02FE1" w:rsidP="00A46DA1"/>
          <w:p w:rsidR="00B02FE1" w:rsidRDefault="00B02FE1" w:rsidP="00A46DA1">
            <w:r>
              <w:t xml:space="preserve">Hanne kommer hos en ukrainsk mor, som gerne vil i en mødregruppe. Hanne rundsender en mail. </w:t>
            </w:r>
          </w:p>
        </w:tc>
        <w:tc>
          <w:tcPr>
            <w:tcW w:w="3544" w:type="dxa"/>
          </w:tcPr>
          <w:p w:rsidR="00B02FE1" w:rsidRDefault="00C228D8" w:rsidP="00A46DA1">
            <w:r>
              <w:lastRenderedPageBreak/>
              <w:t xml:space="preserve">Alle mødre </w:t>
            </w:r>
            <w:r w:rsidRPr="00C228D8">
              <w:rPr>
                <w:u w:val="single"/>
              </w:rPr>
              <w:t>skal</w:t>
            </w:r>
            <w:r>
              <w:t xml:space="preserve"> enten EPDS screenes </w:t>
            </w:r>
            <w:r w:rsidRPr="00C228D8">
              <w:rPr>
                <w:i/>
              </w:rPr>
              <w:t>eller</w:t>
            </w:r>
            <w:r>
              <w:t xml:space="preserve"> der skal registreres hvorfor, der </w:t>
            </w:r>
            <w:r>
              <w:lastRenderedPageBreak/>
              <w:t xml:space="preserve">ikke er screenet. Lisbeth opretter en kategori til de mødre, som det ikke er relevant at screene, fordi de fx er i et behandlingsforløb for depression. </w:t>
            </w:r>
          </w:p>
        </w:tc>
      </w:tr>
      <w:tr w:rsidR="00B02FE1" w:rsidTr="00C228D8">
        <w:tc>
          <w:tcPr>
            <w:tcW w:w="567" w:type="dxa"/>
          </w:tcPr>
          <w:p w:rsidR="00B02FE1" w:rsidRPr="00783014" w:rsidRDefault="00B02FE1" w:rsidP="00BD492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783014">
              <w:rPr>
                <w:b/>
              </w:rPr>
              <w:t>.</w:t>
            </w:r>
          </w:p>
        </w:tc>
        <w:tc>
          <w:tcPr>
            <w:tcW w:w="2978" w:type="dxa"/>
          </w:tcPr>
          <w:p w:rsidR="00B02FE1" w:rsidRPr="008E2F2B" w:rsidRDefault="00B02FE1" w:rsidP="00E54682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5" w:type="dxa"/>
          </w:tcPr>
          <w:p w:rsidR="00B02FE1" w:rsidRDefault="00B02FE1" w:rsidP="00A46DA1"/>
        </w:tc>
        <w:tc>
          <w:tcPr>
            <w:tcW w:w="6804" w:type="dxa"/>
          </w:tcPr>
          <w:p w:rsidR="00B02FE1" w:rsidRDefault="00B02FE1" w:rsidP="00A46DA1"/>
        </w:tc>
        <w:tc>
          <w:tcPr>
            <w:tcW w:w="3544" w:type="dxa"/>
          </w:tcPr>
          <w:p w:rsidR="00B02FE1" w:rsidRDefault="00B02FE1" w:rsidP="00A46DA1"/>
        </w:tc>
      </w:tr>
      <w:tr w:rsidR="00B02FE1" w:rsidTr="00C228D8">
        <w:tc>
          <w:tcPr>
            <w:tcW w:w="567" w:type="dxa"/>
          </w:tcPr>
          <w:p w:rsidR="00B02FE1" w:rsidRPr="00783014" w:rsidRDefault="00B02FE1" w:rsidP="00A46DA1">
            <w:pPr>
              <w:rPr>
                <w:b/>
              </w:rPr>
            </w:pPr>
            <w:r>
              <w:rPr>
                <w:b/>
              </w:rPr>
              <w:t>7</w:t>
            </w:r>
            <w:r w:rsidRPr="00783014">
              <w:rPr>
                <w:b/>
              </w:rPr>
              <w:t>.</w:t>
            </w:r>
          </w:p>
        </w:tc>
        <w:tc>
          <w:tcPr>
            <w:tcW w:w="2978" w:type="dxa"/>
          </w:tcPr>
          <w:p w:rsidR="00B02FE1" w:rsidRPr="008E2F2B" w:rsidRDefault="00B02FE1" w:rsidP="00E54682">
            <w:pPr>
              <w:rPr>
                <w:b/>
              </w:rPr>
            </w:pPr>
            <w:r>
              <w:rPr>
                <w:b/>
              </w:rPr>
              <w:t>Besøg af de fremskudte rådgivere fra Spædbørnsteamet i PPR</w:t>
            </w:r>
          </w:p>
        </w:tc>
        <w:tc>
          <w:tcPr>
            <w:tcW w:w="1275" w:type="dxa"/>
          </w:tcPr>
          <w:p w:rsidR="00B02FE1" w:rsidRDefault="00B02FE1" w:rsidP="00A46DA1">
            <w:r>
              <w:t>Mette</w:t>
            </w:r>
          </w:p>
        </w:tc>
        <w:tc>
          <w:tcPr>
            <w:tcW w:w="6804" w:type="dxa"/>
          </w:tcPr>
          <w:p w:rsidR="00B02FE1" w:rsidRDefault="00B02FE1" w:rsidP="003B7DD0">
            <w:r>
              <w:t xml:space="preserve">PPR har som noget ret nyt splittet de fremskudte rådgivere op i et skole- og et småbørnsteam. De er 4 socialrådgivere i småbørnsteamet, som dækker børn fra ufødt til 6 år. De ønsker tidlig kontakt med familierne, gerne mens </w:t>
            </w:r>
            <w:proofErr w:type="spellStart"/>
            <w:r>
              <w:t>shpl</w:t>
            </w:r>
            <w:proofErr w:type="spellEnd"/>
            <w:r>
              <w:t xml:space="preserve">. </w:t>
            </w:r>
            <w:proofErr w:type="gramStart"/>
            <w:r>
              <w:t>stadig</w:t>
            </w:r>
            <w:proofErr w:type="gramEnd"/>
            <w:r>
              <w:t xml:space="preserve"> er inde i familierne. </w:t>
            </w:r>
            <w:r w:rsidR="00083E08">
              <w:t xml:space="preserve">Og også gerne et øget samarbejde med Sundhedsplejen. </w:t>
            </w:r>
            <w:r w:rsidR="00083E08" w:rsidRPr="00E96F7B">
              <w:rPr>
                <w:b/>
              </w:rPr>
              <w:t>Se vedhæftede slides.</w:t>
            </w:r>
            <w:r w:rsidR="00083E08">
              <w:t xml:space="preserve"> </w:t>
            </w:r>
          </w:p>
          <w:p w:rsidR="00B02FE1" w:rsidRDefault="00B02FE1" w:rsidP="003B7DD0"/>
          <w:p w:rsidR="00B02FE1" w:rsidRDefault="00B02FE1" w:rsidP="003B7DD0">
            <w:r>
              <w:t>Randers Kommune har abonnement på SES (Samarbejde Efter Skilsmisse), so</w:t>
            </w:r>
            <w:r w:rsidR="004F459E">
              <w:t>m er online skilsmisse-hjælp</w:t>
            </w:r>
            <w:r>
              <w:t xml:space="preserve">. Det kan man henvise forældre til. </w:t>
            </w:r>
            <w:hyperlink r:id="rId7" w:history="1">
              <w:r w:rsidR="00083E08" w:rsidRPr="00ED1F51">
                <w:rPr>
                  <w:rStyle w:val="Hyperlink"/>
                </w:rPr>
                <w:t>https://ses.dk/</w:t>
              </w:r>
            </w:hyperlink>
            <w:r w:rsidR="00083E08">
              <w:t xml:space="preserve"> </w:t>
            </w:r>
          </w:p>
          <w:p w:rsidR="00B02FE1" w:rsidRDefault="00B02FE1" w:rsidP="003B7DD0"/>
        </w:tc>
        <w:tc>
          <w:tcPr>
            <w:tcW w:w="3544" w:type="dxa"/>
          </w:tcPr>
          <w:p w:rsidR="00B02FE1" w:rsidRDefault="00083E08" w:rsidP="00A46DA1">
            <w:r>
              <w:t xml:space="preserve">Anne Lise tager bestik af, hvordan der kan arbejdes videre med at styrke samarbejdet. </w:t>
            </w:r>
          </w:p>
        </w:tc>
      </w:tr>
    </w:tbl>
    <w:p w:rsidR="00595BEE" w:rsidRDefault="00595BEE"/>
    <w:p w:rsidR="00B02FE1" w:rsidRDefault="00B02FE1">
      <w:r>
        <w:t>Referent: Rikke KK</w:t>
      </w:r>
    </w:p>
    <w:sectPr w:rsidR="00B02FE1" w:rsidSect="002B15E2">
      <w:headerReference w:type="first" r:id="rId8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DA" w:rsidRDefault="000720DA" w:rsidP="00BC3F0F">
      <w:pPr>
        <w:spacing w:after="0" w:line="240" w:lineRule="auto"/>
      </w:pPr>
      <w:r>
        <w:separator/>
      </w:r>
    </w:p>
  </w:endnote>
  <w:endnote w:type="continuationSeparator" w:id="0">
    <w:p w:rsidR="000720DA" w:rsidRDefault="000720DA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DA" w:rsidRDefault="000720DA" w:rsidP="00BC3F0F">
      <w:pPr>
        <w:spacing w:after="0" w:line="240" w:lineRule="auto"/>
      </w:pPr>
      <w:r>
        <w:separator/>
      </w:r>
    </w:p>
  </w:footnote>
  <w:footnote w:type="continuationSeparator" w:id="0">
    <w:p w:rsidR="000720DA" w:rsidRDefault="000720DA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B02FE1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Referat af </w:t>
    </w:r>
    <w:proofErr w:type="spellStart"/>
    <w:r w:rsidR="00BD4920">
      <w:rPr>
        <w:b/>
        <w:sz w:val="28"/>
        <w:szCs w:val="28"/>
      </w:rPr>
      <w:t>F-møde</w:t>
    </w:r>
    <w:proofErr w:type="spellEnd"/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F92E5F">
      <w:rPr>
        <w:b/>
        <w:sz w:val="28"/>
        <w:szCs w:val="28"/>
      </w:rPr>
      <w:t>27</w:t>
    </w:r>
    <w:r w:rsidR="002911E9">
      <w:rPr>
        <w:b/>
        <w:sz w:val="28"/>
        <w:szCs w:val="28"/>
      </w:rPr>
      <w:t>/</w:t>
    </w:r>
    <w:r w:rsidR="00F92E5F">
      <w:rPr>
        <w:b/>
        <w:sz w:val="28"/>
        <w:szCs w:val="28"/>
      </w:rPr>
      <w:t>10</w:t>
    </w:r>
  </w:p>
  <w:p w:rsidR="002B15E2" w:rsidRDefault="00B02FE1" w:rsidP="00B02FE1">
    <w:pPr>
      <w:pStyle w:val="Sidehoved"/>
      <w:tabs>
        <w:tab w:val="clear" w:pos="4819"/>
        <w:tab w:val="clear" w:pos="9638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46D30"/>
    <w:rsid w:val="000720DA"/>
    <w:rsid w:val="00083E08"/>
    <w:rsid w:val="000C054B"/>
    <w:rsid w:val="000D45A9"/>
    <w:rsid w:val="000E4C91"/>
    <w:rsid w:val="00147DCD"/>
    <w:rsid w:val="00153996"/>
    <w:rsid w:val="001541D8"/>
    <w:rsid w:val="001664E2"/>
    <w:rsid w:val="00181DC9"/>
    <w:rsid w:val="001A1049"/>
    <w:rsid w:val="001B1168"/>
    <w:rsid w:val="001D190E"/>
    <w:rsid w:val="001D29AC"/>
    <w:rsid w:val="00216700"/>
    <w:rsid w:val="0022386D"/>
    <w:rsid w:val="0023535B"/>
    <w:rsid w:val="002452C5"/>
    <w:rsid w:val="00257EEB"/>
    <w:rsid w:val="00262205"/>
    <w:rsid w:val="002911E9"/>
    <w:rsid w:val="002A68F7"/>
    <w:rsid w:val="002B15E2"/>
    <w:rsid w:val="002C4C51"/>
    <w:rsid w:val="00317A12"/>
    <w:rsid w:val="0032221D"/>
    <w:rsid w:val="00327804"/>
    <w:rsid w:val="00335C5B"/>
    <w:rsid w:val="003651C1"/>
    <w:rsid w:val="0036582A"/>
    <w:rsid w:val="00365C68"/>
    <w:rsid w:val="00365DC7"/>
    <w:rsid w:val="00374B67"/>
    <w:rsid w:val="0038453E"/>
    <w:rsid w:val="003A32C7"/>
    <w:rsid w:val="003B7DD0"/>
    <w:rsid w:val="003D12E2"/>
    <w:rsid w:val="003E4889"/>
    <w:rsid w:val="00422587"/>
    <w:rsid w:val="004B3430"/>
    <w:rsid w:val="004B633B"/>
    <w:rsid w:val="004F459E"/>
    <w:rsid w:val="005041DD"/>
    <w:rsid w:val="005106BD"/>
    <w:rsid w:val="005329DF"/>
    <w:rsid w:val="00545C38"/>
    <w:rsid w:val="005622E3"/>
    <w:rsid w:val="00573422"/>
    <w:rsid w:val="0059476F"/>
    <w:rsid w:val="00595BEE"/>
    <w:rsid w:val="005E736C"/>
    <w:rsid w:val="00604B08"/>
    <w:rsid w:val="006062E5"/>
    <w:rsid w:val="006250AA"/>
    <w:rsid w:val="00655235"/>
    <w:rsid w:val="00694BCE"/>
    <w:rsid w:val="006971A6"/>
    <w:rsid w:val="006C378A"/>
    <w:rsid w:val="00734733"/>
    <w:rsid w:val="007452FB"/>
    <w:rsid w:val="0077462E"/>
    <w:rsid w:val="00783014"/>
    <w:rsid w:val="007A3E8B"/>
    <w:rsid w:val="007C2F13"/>
    <w:rsid w:val="007C75A2"/>
    <w:rsid w:val="007E1DFB"/>
    <w:rsid w:val="007E6639"/>
    <w:rsid w:val="00814B0B"/>
    <w:rsid w:val="00854178"/>
    <w:rsid w:val="008618F0"/>
    <w:rsid w:val="0088738F"/>
    <w:rsid w:val="00896E8A"/>
    <w:rsid w:val="008A4634"/>
    <w:rsid w:val="008D6524"/>
    <w:rsid w:val="008E2F2B"/>
    <w:rsid w:val="009013BD"/>
    <w:rsid w:val="00911DF7"/>
    <w:rsid w:val="009130B8"/>
    <w:rsid w:val="00935166"/>
    <w:rsid w:val="00973039"/>
    <w:rsid w:val="00984FA0"/>
    <w:rsid w:val="009B5CB2"/>
    <w:rsid w:val="009C2B7B"/>
    <w:rsid w:val="009D6780"/>
    <w:rsid w:val="009F1E9A"/>
    <w:rsid w:val="00A2256D"/>
    <w:rsid w:val="00A46DA1"/>
    <w:rsid w:val="00A513B6"/>
    <w:rsid w:val="00A61EA9"/>
    <w:rsid w:val="00A82A4D"/>
    <w:rsid w:val="00AF64B2"/>
    <w:rsid w:val="00B02FE1"/>
    <w:rsid w:val="00B3448B"/>
    <w:rsid w:val="00B511D1"/>
    <w:rsid w:val="00B65D82"/>
    <w:rsid w:val="00B749D8"/>
    <w:rsid w:val="00B77123"/>
    <w:rsid w:val="00B808FB"/>
    <w:rsid w:val="00BA5C6E"/>
    <w:rsid w:val="00BA74D9"/>
    <w:rsid w:val="00BC3F0F"/>
    <w:rsid w:val="00BD4920"/>
    <w:rsid w:val="00C146EE"/>
    <w:rsid w:val="00C228D8"/>
    <w:rsid w:val="00C22EFC"/>
    <w:rsid w:val="00C275E9"/>
    <w:rsid w:val="00C533B1"/>
    <w:rsid w:val="00C57CA4"/>
    <w:rsid w:val="00C71600"/>
    <w:rsid w:val="00C9347B"/>
    <w:rsid w:val="00CA4555"/>
    <w:rsid w:val="00CC2A9D"/>
    <w:rsid w:val="00CD4ACD"/>
    <w:rsid w:val="00CE6507"/>
    <w:rsid w:val="00CF1412"/>
    <w:rsid w:val="00D02F1D"/>
    <w:rsid w:val="00D10D6F"/>
    <w:rsid w:val="00D17C7C"/>
    <w:rsid w:val="00D20716"/>
    <w:rsid w:val="00D3091C"/>
    <w:rsid w:val="00D350F7"/>
    <w:rsid w:val="00D61D0B"/>
    <w:rsid w:val="00D919C2"/>
    <w:rsid w:val="00DA2FC1"/>
    <w:rsid w:val="00DA430E"/>
    <w:rsid w:val="00DC3591"/>
    <w:rsid w:val="00DF182C"/>
    <w:rsid w:val="00DF5841"/>
    <w:rsid w:val="00DF6AFA"/>
    <w:rsid w:val="00E37863"/>
    <w:rsid w:val="00E53227"/>
    <w:rsid w:val="00E54682"/>
    <w:rsid w:val="00E82962"/>
    <w:rsid w:val="00E84551"/>
    <w:rsid w:val="00E96F7B"/>
    <w:rsid w:val="00EA3C27"/>
    <w:rsid w:val="00EA7514"/>
    <w:rsid w:val="00EC23A2"/>
    <w:rsid w:val="00EE76C9"/>
    <w:rsid w:val="00EF1BFA"/>
    <w:rsid w:val="00EF2338"/>
    <w:rsid w:val="00F01189"/>
    <w:rsid w:val="00F30FF4"/>
    <w:rsid w:val="00F375C7"/>
    <w:rsid w:val="00F41102"/>
    <w:rsid w:val="00F629A8"/>
    <w:rsid w:val="00F741F2"/>
    <w:rsid w:val="00F92E5F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83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s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470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26</cp:revision>
  <cp:lastPrinted>2019-04-04T11:36:00Z</cp:lastPrinted>
  <dcterms:created xsi:type="dcterms:W3CDTF">2022-10-12T08:48:00Z</dcterms:created>
  <dcterms:modified xsi:type="dcterms:W3CDTF">2022-10-28T10:06:00Z</dcterms:modified>
</cp:coreProperties>
</file>