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3D62" w14:textId="77777777" w:rsidR="00BD3BED" w:rsidRPr="00BD3BED" w:rsidRDefault="00BD3BED" w:rsidP="00264AD9">
      <w:pPr>
        <w:pStyle w:val="Overskrift1"/>
        <w:jc w:val="center"/>
      </w:pPr>
      <w:bookmarkStart w:id="0" w:name="_Toc133331511"/>
      <w:bookmarkStart w:id="1" w:name="_Toc133331507"/>
      <w:bookmarkStart w:id="2" w:name="_Toc133839409"/>
      <w:r w:rsidRPr="00BD3BED">
        <w:t xml:space="preserve">Instruks – Tvang ved </w:t>
      </w:r>
      <w:r w:rsidRPr="00264AD9">
        <w:t>somatisk</w:t>
      </w:r>
      <w:r w:rsidRPr="00BD3BED">
        <w:t xml:space="preserve"> behandling af varigt inhabile</w:t>
      </w:r>
      <w:bookmarkEnd w:id="2"/>
    </w:p>
    <w:p w14:paraId="10009DB0" w14:textId="77777777" w:rsidR="00BD3BED" w:rsidRDefault="00BD3BED" w:rsidP="00BD3BED">
      <w:r w:rsidRPr="00473C7B">
        <w:t xml:space="preserve">                                                                                                                                           </w:t>
      </w:r>
    </w:p>
    <w:tbl>
      <w:tblPr>
        <w:tblW w:w="10698" w:type="dxa"/>
        <w:tblInd w:w="-140" w:type="dxa"/>
        <w:tblCellMar>
          <w:top w:w="7" w:type="dxa"/>
          <w:left w:w="68" w:type="dxa"/>
          <w:right w:w="42" w:type="dxa"/>
        </w:tblCellMar>
        <w:tblLook w:val="04A0" w:firstRow="1" w:lastRow="0" w:firstColumn="1" w:lastColumn="0" w:noHBand="0" w:noVBand="1"/>
        <w:tblDescription w:val="Instruks – Tvang ved somatisk behandling af varigt inhabile"/>
      </w:tblPr>
      <w:tblGrid>
        <w:gridCol w:w="3259"/>
        <w:gridCol w:w="7439"/>
      </w:tblGrid>
      <w:tr w:rsidR="00264AD9" w:rsidRPr="00473C7B" w14:paraId="47EBD7D3" w14:textId="77777777" w:rsidTr="00264AD9">
        <w:trPr>
          <w:trHeight w:val="235"/>
          <w:tblHeader/>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69C7B13E" w14:textId="0302174F" w:rsidR="00264AD9" w:rsidRPr="002A5830" w:rsidRDefault="00264AD9" w:rsidP="00B45E1D">
            <w:pPr>
              <w:jc w:val="left"/>
              <w:rPr>
                <w:rFonts w:eastAsia="Arial"/>
                <w:b/>
                <w:bCs/>
              </w:rPr>
            </w:pPr>
            <w:r>
              <w:rPr>
                <w:rFonts w:eastAsia="Arial"/>
                <w:b/>
                <w:bCs/>
              </w:rPr>
              <w:t>Situation</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2CE77E7A" w14:textId="3F90D12A" w:rsidR="00264AD9" w:rsidRPr="007F2665" w:rsidRDefault="00264AD9" w:rsidP="00B45E1D">
            <w:pPr>
              <w:jc w:val="left"/>
              <w:rPr>
                <w:rFonts w:eastAsia="Arial"/>
              </w:rPr>
            </w:pPr>
            <w:r>
              <w:rPr>
                <w:rFonts w:eastAsia="Arial"/>
              </w:rPr>
              <w:t>Instruks</w:t>
            </w:r>
          </w:p>
        </w:tc>
      </w:tr>
      <w:tr w:rsidR="00BD3BED" w:rsidRPr="00473C7B" w14:paraId="7F2937A4" w14:textId="77777777" w:rsidTr="00B45E1D">
        <w:trPr>
          <w:trHeight w:val="805"/>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02AE2E8D" w14:textId="77777777" w:rsidR="00BD3BED" w:rsidRPr="002A5830" w:rsidRDefault="00BD3BED" w:rsidP="00B45E1D">
            <w:pPr>
              <w:jc w:val="left"/>
              <w:rPr>
                <w:rFonts w:ascii="Calibri" w:eastAsia="Calibri" w:hAnsi="Calibri" w:cs="Calibri"/>
                <w:b/>
                <w:bCs/>
              </w:rPr>
            </w:pPr>
            <w:r w:rsidRPr="002A5830">
              <w:rPr>
                <w:rFonts w:eastAsia="Arial"/>
                <w:b/>
                <w:bCs/>
              </w:rPr>
              <w:t>Personalegrupper omfattet af instruksen</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6F3C80E1" w14:textId="77777777" w:rsidR="00BD3BED" w:rsidRPr="00473C7B" w:rsidRDefault="00BD3BED" w:rsidP="00B45E1D">
            <w:pPr>
              <w:jc w:val="left"/>
              <w:rPr>
                <w:rFonts w:eastAsia="Calibri"/>
              </w:rPr>
            </w:pPr>
            <w:r w:rsidRPr="007F2665">
              <w:rPr>
                <w:rFonts w:eastAsia="Arial"/>
              </w:rPr>
              <w:t>Al</w:t>
            </w:r>
            <w:r>
              <w:rPr>
                <w:rFonts w:eastAsia="Arial"/>
              </w:rPr>
              <w:t>t personale</w:t>
            </w:r>
            <w:r w:rsidRPr="007F2665">
              <w:rPr>
                <w:rFonts w:eastAsia="Arial"/>
              </w:rPr>
              <w:t xml:space="preserve"> </w:t>
            </w:r>
            <w:r w:rsidRPr="006D5EDB">
              <w:rPr>
                <w:rFonts w:eastAsia="Arial"/>
              </w:rPr>
              <w:t>ansat</w:t>
            </w:r>
            <w:r>
              <w:rPr>
                <w:rFonts w:eastAsia="Arial"/>
                <w:color w:val="FF0000"/>
              </w:rPr>
              <w:t xml:space="preserve"> </w:t>
            </w:r>
            <w:r>
              <w:rPr>
                <w:rFonts w:eastAsia="Arial"/>
              </w:rPr>
              <w:t>på socialområdet i Randers kommune.</w:t>
            </w:r>
          </w:p>
        </w:tc>
      </w:tr>
      <w:tr w:rsidR="00BD3BED" w:rsidRPr="00473C7B" w14:paraId="20BEB204" w14:textId="77777777" w:rsidTr="00B45E1D">
        <w:trPr>
          <w:trHeight w:val="1163"/>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6B4881BE" w14:textId="77777777" w:rsidR="00BD3BED" w:rsidRPr="002A5830" w:rsidRDefault="00BD3BED" w:rsidP="00B45E1D">
            <w:pPr>
              <w:jc w:val="left"/>
              <w:rPr>
                <w:rFonts w:ascii="Calibri" w:eastAsia="Calibri" w:hAnsi="Calibri" w:cs="Calibri"/>
                <w:b/>
                <w:bCs/>
              </w:rPr>
            </w:pPr>
            <w:r w:rsidRPr="002A5830">
              <w:rPr>
                <w:rFonts w:eastAsia="Arial"/>
                <w:b/>
                <w:bCs/>
              </w:rPr>
              <w:t xml:space="preserve">Formål  </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57A636E8" w14:textId="77777777" w:rsidR="00BD3BED" w:rsidRDefault="00BD3BED" w:rsidP="00B45E1D">
            <w:pPr>
              <w:pStyle w:val="Default"/>
              <w:rPr>
                <w:rFonts w:ascii="Arial" w:hAnsi="Arial" w:cs="Arial"/>
                <w:sz w:val="22"/>
                <w:szCs w:val="22"/>
              </w:rPr>
            </w:pPr>
            <w:r w:rsidRPr="00D30444">
              <w:rPr>
                <w:rFonts w:ascii="Arial" w:hAnsi="Arial" w:cs="Arial"/>
                <w:sz w:val="22"/>
                <w:szCs w:val="22"/>
              </w:rPr>
              <w:t xml:space="preserve">At varetage varigt inhabile </w:t>
            </w:r>
            <w:r>
              <w:rPr>
                <w:rFonts w:ascii="Arial" w:hAnsi="Arial" w:cs="Arial"/>
                <w:sz w:val="22"/>
                <w:szCs w:val="22"/>
              </w:rPr>
              <w:t>beboeres</w:t>
            </w:r>
            <w:r w:rsidRPr="00D30444">
              <w:rPr>
                <w:rFonts w:ascii="Arial" w:hAnsi="Arial" w:cs="Arial"/>
                <w:sz w:val="22"/>
                <w:szCs w:val="22"/>
              </w:rPr>
              <w:t xml:space="preserve"> interesser og sikre nødvendig behandling</w:t>
            </w:r>
            <w:r>
              <w:rPr>
                <w:rFonts w:ascii="Arial" w:hAnsi="Arial" w:cs="Arial"/>
                <w:sz w:val="22"/>
                <w:szCs w:val="22"/>
              </w:rPr>
              <w:t>.</w:t>
            </w:r>
          </w:p>
          <w:p w14:paraId="1E9536E1" w14:textId="77777777" w:rsidR="00BD3BED" w:rsidRPr="00D30444" w:rsidRDefault="00BD3BED" w:rsidP="00B45E1D">
            <w:pPr>
              <w:pStyle w:val="Default"/>
              <w:rPr>
                <w:rFonts w:ascii="Arial" w:hAnsi="Arial" w:cs="Arial"/>
                <w:sz w:val="22"/>
                <w:szCs w:val="22"/>
              </w:rPr>
            </w:pPr>
          </w:p>
          <w:p w14:paraId="5D670BFC" w14:textId="77777777" w:rsidR="00BD3BED" w:rsidRPr="00D30444" w:rsidRDefault="00BD3BED" w:rsidP="00B45E1D">
            <w:pPr>
              <w:pStyle w:val="Default"/>
              <w:rPr>
                <w:rFonts w:ascii="Arial" w:hAnsi="Arial" w:cs="Arial"/>
                <w:sz w:val="22"/>
                <w:szCs w:val="22"/>
              </w:rPr>
            </w:pPr>
            <w:r w:rsidRPr="00D30444">
              <w:rPr>
                <w:rFonts w:ascii="Arial" w:hAnsi="Arial" w:cs="Arial"/>
                <w:sz w:val="22"/>
                <w:szCs w:val="22"/>
              </w:rPr>
              <w:t xml:space="preserve">At sikre sundhedsfagligt personale kender deres ansvar og kompetencer i situationer, hvor der skal benyttes tvang ved behandling af varigt inhabile </w:t>
            </w:r>
            <w:r>
              <w:rPr>
                <w:rFonts w:ascii="Arial" w:hAnsi="Arial" w:cs="Arial"/>
                <w:sz w:val="22"/>
                <w:szCs w:val="22"/>
              </w:rPr>
              <w:t>beboere</w:t>
            </w:r>
            <w:r w:rsidRPr="00D30444">
              <w:rPr>
                <w:rFonts w:ascii="Arial" w:hAnsi="Arial" w:cs="Arial"/>
                <w:sz w:val="22"/>
                <w:szCs w:val="22"/>
              </w:rPr>
              <w:t xml:space="preserve"> som fx </w:t>
            </w:r>
            <w:r>
              <w:rPr>
                <w:rFonts w:ascii="Arial" w:hAnsi="Arial" w:cs="Arial"/>
                <w:sz w:val="22"/>
                <w:szCs w:val="22"/>
              </w:rPr>
              <w:t>har erhvervet hjerneskade</w:t>
            </w:r>
            <w:r w:rsidRPr="00D30444">
              <w:rPr>
                <w:rFonts w:ascii="Arial" w:hAnsi="Arial" w:cs="Arial"/>
                <w:sz w:val="22"/>
                <w:szCs w:val="22"/>
              </w:rPr>
              <w:t xml:space="preserve">, som er fyldt 15 år, og som varigt mangler evnen til at give informeret samtykke til behandling </w:t>
            </w:r>
          </w:p>
          <w:p w14:paraId="5543AFDE" w14:textId="77777777" w:rsidR="00BD3BED" w:rsidRPr="00473C7B" w:rsidRDefault="00BD3BED" w:rsidP="00B45E1D">
            <w:pPr>
              <w:pStyle w:val="Default"/>
              <w:rPr>
                <w:rFonts w:eastAsia="Calibri"/>
              </w:rPr>
            </w:pPr>
          </w:p>
        </w:tc>
      </w:tr>
      <w:tr w:rsidR="00BD3BED" w:rsidRPr="00473C7B" w14:paraId="12FFE613"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4EBFF92D" w14:textId="77777777" w:rsidR="00BD3BED" w:rsidRPr="002A5830" w:rsidRDefault="00BD3BED" w:rsidP="00B45E1D">
            <w:pPr>
              <w:jc w:val="left"/>
              <w:rPr>
                <w:rFonts w:eastAsia="Arial"/>
                <w:b/>
                <w:bCs/>
              </w:rPr>
            </w:pPr>
            <w:r w:rsidRPr="002A5830">
              <w:rPr>
                <w:rFonts w:eastAsia="Arial"/>
                <w:b/>
                <w:bCs/>
              </w:rPr>
              <w:t>Ansvar</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35C71641" w14:textId="77777777" w:rsidR="00BD3BED" w:rsidRPr="00473C7B" w:rsidRDefault="00BD3BED" w:rsidP="00B45E1D">
            <w:pPr>
              <w:jc w:val="left"/>
              <w:rPr>
                <w:rFonts w:eastAsia="Arial"/>
              </w:rPr>
            </w:pPr>
            <w:r w:rsidRPr="00473C7B">
              <w:rPr>
                <w:rFonts w:eastAsia="Arial"/>
              </w:rPr>
              <w:t>Det er ledelsens ansvar at sikre en skriftlig instruks og korrekt opdatering af denne</w:t>
            </w:r>
          </w:p>
          <w:p w14:paraId="31AD8C76" w14:textId="77777777" w:rsidR="00BD3BED" w:rsidRPr="00473C7B" w:rsidRDefault="00BD3BED" w:rsidP="00B45E1D">
            <w:pPr>
              <w:jc w:val="left"/>
              <w:rPr>
                <w:rFonts w:eastAsia="Arial"/>
              </w:rPr>
            </w:pPr>
          </w:p>
          <w:p w14:paraId="69F26454" w14:textId="77777777" w:rsidR="00BD3BED" w:rsidRPr="00473C7B" w:rsidRDefault="00BD3BED" w:rsidP="00B45E1D">
            <w:pPr>
              <w:jc w:val="left"/>
              <w:rPr>
                <w:rFonts w:eastAsia="Arial"/>
              </w:rPr>
            </w:pPr>
            <w:r w:rsidRPr="00473C7B">
              <w:rPr>
                <w:rFonts w:eastAsia="Arial"/>
              </w:rPr>
              <w:t>Det er personalets ansvar at følge skriftlig instruks.</w:t>
            </w:r>
          </w:p>
        </w:tc>
      </w:tr>
      <w:tr w:rsidR="00BD3BED" w:rsidRPr="00473C7B" w14:paraId="78B9EAFD"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7E2A2E88" w14:textId="77777777" w:rsidR="00BD3BED" w:rsidRPr="002A5830" w:rsidRDefault="00BD3BED" w:rsidP="00B45E1D">
            <w:pPr>
              <w:jc w:val="left"/>
              <w:rPr>
                <w:rFonts w:eastAsia="Arial"/>
                <w:b/>
                <w:bCs/>
              </w:rPr>
            </w:pPr>
            <w:r w:rsidRPr="002A5830">
              <w:rPr>
                <w:b/>
                <w:bCs/>
              </w:rPr>
              <w:t>Tvang må ikke anvendes ved behandling</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33480A1F" w14:textId="77777777" w:rsidR="00BD3BED" w:rsidRPr="00D30444" w:rsidRDefault="00BD3BED" w:rsidP="00B45E1D">
            <w:pPr>
              <w:autoSpaceDE w:val="0"/>
              <w:autoSpaceDN w:val="0"/>
              <w:adjustRightInd w:val="0"/>
              <w:jc w:val="left"/>
            </w:pPr>
            <w:r w:rsidRPr="00D30444">
              <w:rPr>
                <w:b/>
                <w:bCs/>
              </w:rPr>
              <w:t xml:space="preserve">Tvang må som udgangspunkt ikke anvendes ved behandling! </w:t>
            </w:r>
          </w:p>
          <w:p w14:paraId="6DB924B2" w14:textId="77777777" w:rsidR="00BD3BED" w:rsidRPr="00D30444" w:rsidRDefault="00BD3BED" w:rsidP="00B45E1D">
            <w:pPr>
              <w:autoSpaceDE w:val="0"/>
              <w:autoSpaceDN w:val="0"/>
              <w:adjustRightInd w:val="0"/>
              <w:jc w:val="left"/>
            </w:pPr>
            <w:r w:rsidRPr="00D30444">
              <w:rPr>
                <w:b/>
                <w:bCs/>
              </w:rPr>
              <w:t xml:space="preserve">Det betyder: </w:t>
            </w:r>
          </w:p>
          <w:p w14:paraId="72C1ADE8" w14:textId="77777777" w:rsidR="00BD3BED" w:rsidRPr="00D30444" w:rsidRDefault="00BD3BED" w:rsidP="00BD3BED">
            <w:pPr>
              <w:numPr>
                <w:ilvl w:val="0"/>
                <w:numId w:val="34"/>
              </w:numPr>
              <w:autoSpaceDE w:val="0"/>
              <w:autoSpaceDN w:val="0"/>
              <w:adjustRightInd w:val="0"/>
              <w:jc w:val="left"/>
            </w:pPr>
            <w:r w:rsidRPr="00D30444">
              <w:t xml:space="preserve">At en </w:t>
            </w:r>
            <w:r>
              <w:t>beboer</w:t>
            </w:r>
            <w:r w:rsidRPr="00D30444">
              <w:t xml:space="preserve"> skal give habilt samtykke til behandling. </w:t>
            </w:r>
          </w:p>
          <w:p w14:paraId="0B399731" w14:textId="77777777" w:rsidR="00BD3BED" w:rsidRPr="00D30444" w:rsidRDefault="00BD3BED" w:rsidP="00BD3BED">
            <w:pPr>
              <w:numPr>
                <w:ilvl w:val="0"/>
                <w:numId w:val="34"/>
              </w:numPr>
              <w:autoSpaceDE w:val="0"/>
              <w:autoSpaceDN w:val="0"/>
              <w:adjustRightInd w:val="0"/>
              <w:jc w:val="left"/>
            </w:pPr>
            <w:r w:rsidRPr="00D30444">
              <w:t xml:space="preserve">At </w:t>
            </w:r>
            <w:r>
              <w:t>en medarbejder</w:t>
            </w:r>
            <w:r w:rsidRPr="00D30444">
              <w:t xml:space="preserve"> ikke må gennemføre sundhedsindsatser, hvis </w:t>
            </w:r>
            <w:r>
              <w:t>borgeren</w:t>
            </w:r>
            <w:r w:rsidRPr="00D30444">
              <w:t xml:space="preserve"> modsætter sig. </w:t>
            </w:r>
          </w:p>
          <w:p w14:paraId="3B69FAA8" w14:textId="77777777" w:rsidR="00BD3BED" w:rsidRPr="00D30444" w:rsidRDefault="00BD3BED" w:rsidP="00BD3BED">
            <w:pPr>
              <w:numPr>
                <w:ilvl w:val="0"/>
                <w:numId w:val="34"/>
              </w:numPr>
              <w:autoSpaceDE w:val="0"/>
              <w:autoSpaceDN w:val="0"/>
              <w:adjustRightInd w:val="0"/>
              <w:jc w:val="left"/>
            </w:pPr>
            <w:r w:rsidRPr="00D30444">
              <w:t>At en medarbejder</w:t>
            </w:r>
            <w:r>
              <w:t xml:space="preserve"> </w:t>
            </w:r>
            <w:r w:rsidRPr="00D30444">
              <w:t>ikke</w:t>
            </w:r>
            <w:r>
              <w:t xml:space="preserve"> må</w:t>
            </w:r>
            <w:r w:rsidRPr="00D30444">
              <w:t xml:space="preserve"> fastholde </w:t>
            </w:r>
            <w:r>
              <w:t>beboeren</w:t>
            </w:r>
            <w:r w:rsidRPr="00D30444">
              <w:t xml:space="preserve"> for at udføre behandling som fx smører med en salve, give medicin, skifte kateter mv. </w:t>
            </w:r>
          </w:p>
          <w:p w14:paraId="6BC1E049" w14:textId="77777777" w:rsidR="00BD3BED" w:rsidRPr="00D30444" w:rsidRDefault="00BD3BED" w:rsidP="00BD3BED">
            <w:pPr>
              <w:numPr>
                <w:ilvl w:val="0"/>
                <w:numId w:val="34"/>
              </w:numPr>
              <w:autoSpaceDE w:val="0"/>
              <w:autoSpaceDN w:val="0"/>
              <w:adjustRightInd w:val="0"/>
              <w:jc w:val="left"/>
            </w:pPr>
            <w:r w:rsidRPr="00D30444">
              <w:t xml:space="preserve">At en medarbejder skal forsøge at få </w:t>
            </w:r>
            <w:r>
              <w:t>beboeren</w:t>
            </w:r>
            <w:r w:rsidRPr="00D30444">
              <w:t xml:space="preserve"> til frivilligt at medvirke til behandlingen. </w:t>
            </w:r>
            <w:r>
              <w:t>Beboeren</w:t>
            </w:r>
            <w:r w:rsidRPr="00D30444">
              <w:t xml:space="preserve"> skal inddrages mest muligt, og alle socialpædagogiske tiltag skal forsøges. </w:t>
            </w:r>
          </w:p>
          <w:p w14:paraId="07C647E2" w14:textId="77777777" w:rsidR="00BD3BED" w:rsidRPr="00D30444" w:rsidRDefault="00BD3BED" w:rsidP="00BD3BED">
            <w:pPr>
              <w:numPr>
                <w:ilvl w:val="0"/>
                <w:numId w:val="34"/>
              </w:numPr>
              <w:autoSpaceDE w:val="0"/>
              <w:autoSpaceDN w:val="0"/>
              <w:adjustRightInd w:val="0"/>
              <w:jc w:val="left"/>
            </w:pPr>
            <w:r w:rsidRPr="00D30444">
              <w:t xml:space="preserve">At hvis </w:t>
            </w:r>
            <w:r>
              <w:t>beboeren</w:t>
            </w:r>
            <w:r w:rsidRPr="00D30444">
              <w:t xml:space="preserve"> fortsat modsætter sig behandling, skal lægen kontaktes for at aftale det videre forløb. </w:t>
            </w:r>
          </w:p>
          <w:p w14:paraId="5CC06A36" w14:textId="77777777" w:rsidR="00BD3BED" w:rsidRPr="00D30444" w:rsidRDefault="00BD3BED" w:rsidP="00B45E1D">
            <w:pPr>
              <w:autoSpaceDE w:val="0"/>
              <w:autoSpaceDN w:val="0"/>
              <w:adjustRightInd w:val="0"/>
              <w:jc w:val="left"/>
            </w:pPr>
          </w:p>
          <w:p w14:paraId="5CB793E6" w14:textId="77777777" w:rsidR="00BD3BED" w:rsidRDefault="00BD3BED" w:rsidP="00B45E1D">
            <w:pPr>
              <w:autoSpaceDE w:val="0"/>
              <w:autoSpaceDN w:val="0"/>
              <w:adjustRightInd w:val="0"/>
              <w:jc w:val="left"/>
            </w:pPr>
            <w:r w:rsidRPr="00D30444">
              <w:rPr>
                <w:b/>
                <w:bCs/>
              </w:rPr>
              <w:t xml:space="preserve">Habil </w:t>
            </w:r>
            <w:r>
              <w:rPr>
                <w:b/>
                <w:bCs/>
              </w:rPr>
              <w:t>borger</w:t>
            </w:r>
            <w:r w:rsidRPr="00D30444">
              <w:t xml:space="preserve">: En </w:t>
            </w:r>
            <w:r>
              <w:t>borger</w:t>
            </w:r>
            <w:r w:rsidRPr="00D30444">
              <w:t xml:space="preserve"> anses for habil, når denne har evnen til at forstå information og kan overskue konsekvenserne af sin beslutning på baggrund af informationen. Den habile </w:t>
            </w:r>
            <w:r>
              <w:t>beboer</w:t>
            </w:r>
            <w:r w:rsidRPr="00D30444">
              <w:t xml:space="preserve"> kan udøve sin selvbestemmelsesret og kan derved give samtykke til behandling m.v.</w:t>
            </w:r>
          </w:p>
          <w:p w14:paraId="09B1C92E" w14:textId="77777777" w:rsidR="00BD3BED" w:rsidRPr="00D30444" w:rsidRDefault="00BD3BED" w:rsidP="00B45E1D">
            <w:pPr>
              <w:autoSpaceDE w:val="0"/>
              <w:autoSpaceDN w:val="0"/>
              <w:adjustRightInd w:val="0"/>
              <w:jc w:val="left"/>
            </w:pPr>
            <w:r w:rsidRPr="00D30444">
              <w:t xml:space="preserve"> </w:t>
            </w:r>
          </w:p>
          <w:p w14:paraId="047FAF66" w14:textId="77777777" w:rsidR="00BD3BED" w:rsidRDefault="00BD3BED" w:rsidP="00B45E1D">
            <w:pPr>
              <w:jc w:val="left"/>
            </w:pPr>
            <w:r w:rsidRPr="00D30444">
              <w:rPr>
                <w:b/>
                <w:bCs/>
              </w:rPr>
              <w:t xml:space="preserve">Varigt inhabil </w:t>
            </w:r>
            <w:r>
              <w:rPr>
                <w:b/>
                <w:bCs/>
              </w:rPr>
              <w:t>borger</w:t>
            </w:r>
            <w:r w:rsidRPr="00D30444">
              <w:t xml:space="preserve">: En </w:t>
            </w:r>
            <w:r>
              <w:t>borger</w:t>
            </w:r>
            <w:r w:rsidRPr="00D30444">
              <w:t xml:space="preserve"> anses for varigt inhabil, når denne varigt mangler evnen til at give informeret samtykke. Det afgørende er, om </w:t>
            </w:r>
            <w:r>
              <w:t>beboeren</w:t>
            </w:r>
            <w:r w:rsidRPr="00D30444">
              <w:t xml:space="preserve"> kan forholde sig fornuftsmæssigt til behandlingsforslag m.v.</w:t>
            </w:r>
          </w:p>
          <w:p w14:paraId="31788CAF" w14:textId="77777777" w:rsidR="00BD3BED" w:rsidRPr="00473C7B" w:rsidRDefault="00BD3BED" w:rsidP="00B45E1D">
            <w:pPr>
              <w:jc w:val="left"/>
              <w:rPr>
                <w:rFonts w:eastAsia="Arial"/>
              </w:rPr>
            </w:pPr>
          </w:p>
        </w:tc>
      </w:tr>
      <w:tr w:rsidR="00BD3BED" w:rsidRPr="00473C7B" w14:paraId="2E67346B"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0F78EED0" w14:textId="77777777" w:rsidR="00BD3BED" w:rsidRPr="002A5830" w:rsidRDefault="00BD3BED" w:rsidP="00B45E1D">
            <w:pPr>
              <w:pStyle w:val="Default"/>
              <w:rPr>
                <w:rFonts w:ascii="Arial" w:hAnsi="Arial" w:cs="Arial"/>
                <w:b/>
                <w:sz w:val="22"/>
                <w:szCs w:val="22"/>
              </w:rPr>
            </w:pPr>
            <w:r w:rsidRPr="002A5830">
              <w:rPr>
                <w:rFonts w:ascii="Arial" w:eastAsia="Calibri" w:hAnsi="Arial" w:cs="Arial"/>
                <w:b/>
                <w:sz w:val="22"/>
                <w:szCs w:val="22"/>
                <w:lang w:eastAsia="en-US"/>
              </w:rPr>
              <w:t xml:space="preserve">Tvang ved somatisk behandling af varigt inhabil </w:t>
            </w:r>
            <w:r>
              <w:rPr>
                <w:rFonts w:ascii="Arial" w:eastAsia="Calibri" w:hAnsi="Arial" w:cs="Arial"/>
                <w:b/>
                <w:sz w:val="22"/>
                <w:szCs w:val="22"/>
                <w:lang w:eastAsia="en-US"/>
              </w:rPr>
              <w:t>borger</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2D6E61A1" w14:textId="77777777" w:rsidR="00BD3BED" w:rsidRPr="009F6676" w:rsidRDefault="00BD3BED" w:rsidP="00B45E1D">
            <w:pPr>
              <w:autoSpaceDE w:val="0"/>
              <w:autoSpaceDN w:val="0"/>
              <w:adjustRightInd w:val="0"/>
              <w:jc w:val="left"/>
            </w:pPr>
            <w:r>
              <w:rPr>
                <w:b/>
                <w:bCs/>
              </w:rPr>
              <w:t xml:space="preserve">En </w:t>
            </w:r>
            <w:r w:rsidRPr="009F6676">
              <w:rPr>
                <w:b/>
                <w:bCs/>
              </w:rPr>
              <w:t xml:space="preserve">læge eller tandlæge kan beslutte at anvende tvang </w:t>
            </w:r>
          </w:p>
          <w:p w14:paraId="7EA41C93" w14:textId="77777777" w:rsidR="00BD3BED" w:rsidRPr="009F6676" w:rsidRDefault="00BD3BED" w:rsidP="00BD3BED">
            <w:pPr>
              <w:numPr>
                <w:ilvl w:val="0"/>
                <w:numId w:val="38"/>
              </w:numPr>
              <w:autoSpaceDE w:val="0"/>
              <w:autoSpaceDN w:val="0"/>
              <w:adjustRightInd w:val="0"/>
              <w:jc w:val="left"/>
            </w:pPr>
            <w:r w:rsidRPr="009F6676">
              <w:t xml:space="preserve">En læge eller tandlæge har mulighed for – som en sidste udvej – at beslutte at anvende tvang ved somatisk behandling til en varigt inhabil </w:t>
            </w:r>
            <w:r>
              <w:t>beboer</w:t>
            </w:r>
            <w:r w:rsidRPr="009F6676">
              <w:t xml:space="preserve">. Formålet er at varetage sårbare </w:t>
            </w:r>
            <w:r>
              <w:t xml:space="preserve">beboeres </w:t>
            </w:r>
            <w:r w:rsidRPr="009F6676">
              <w:t>interesser og sikre nødvendig behandling.</w:t>
            </w:r>
          </w:p>
          <w:p w14:paraId="78E9315B" w14:textId="77777777" w:rsidR="00BD3BED" w:rsidRPr="009F6676" w:rsidRDefault="00BD3BED" w:rsidP="00BD3BED">
            <w:pPr>
              <w:numPr>
                <w:ilvl w:val="0"/>
                <w:numId w:val="38"/>
              </w:numPr>
              <w:autoSpaceDE w:val="0"/>
              <w:autoSpaceDN w:val="0"/>
              <w:adjustRightInd w:val="0"/>
              <w:jc w:val="left"/>
            </w:pPr>
            <w:r w:rsidRPr="009F6676">
              <w:t xml:space="preserve">Lægen kan overveje at anvende tvang, når der er et konkret og aktuelt behov for at behandle en varigt inhabil </w:t>
            </w:r>
            <w:r>
              <w:t>beboer</w:t>
            </w:r>
            <w:r w:rsidRPr="009F6676">
              <w:t>, som modsætter sig behandling, og hvor manglende behandling vil medføre et væsentligt forringet helbred.</w:t>
            </w:r>
          </w:p>
          <w:p w14:paraId="251756F0" w14:textId="77777777" w:rsidR="00BD3BED" w:rsidRDefault="00BD3BED" w:rsidP="00BD3BED">
            <w:pPr>
              <w:numPr>
                <w:ilvl w:val="0"/>
                <w:numId w:val="38"/>
              </w:numPr>
              <w:autoSpaceDE w:val="0"/>
              <w:autoSpaceDN w:val="0"/>
              <w:adjustRightInd w:val="0"/>
              <w:jc w:val="left"/>
            </w:pPr>
            <w:r w:rsidRPr="009F6676">
              <w:lastRenderedPageBreak/>
              <w:t xml:space="preserve">Det kan fx dreje sig om tandbehandling, øjendrypning, behandling af </w:t>
            </w:r>
            <w:proofErr w:type="spellStart"/>
            <w:r w:rsidRPr="009F6676">
              <w:t>fodsår</w:t>
            </w:r>
            <w:proofErr w:type="spellEnd"/>
            <w:r w:rsidRPr="009F6676">
              <w:t xml:space="preserve"> hos diabetikere, anlæggelse af urinkateter, undersøgelse for alvorlig sygdom, f.eks. kræft, eller bedøvelse og kirurgiske indgreb, f.eks. amputation ved koldbrand.</w:t>
            </w:r>
          </w:p>
          <w:p w14:paraId="0B6EF7CD" w14:textId="77777777" w:rsidR="00BD3BED" w:rsidRDefault="00BD3BED" w:rsidP="00B45E1D">
            <w:pPr>
              <w:pStyle w:val="Default"/>
              <w:rPr>
                <w:rFonts w:ascii="Arial" w:hAnsi="Arial" w:cs="Arial"/>
                <w:b/>
                <w:bCs/>
                <w:sz w:val="22"/>
                <w:szCs w:val="22"/>
              </w:rPr>
            </w:pPr>
          </w:p>
          <w:p w14:paraId="3B25394E" w14:textId="77777777" w:rsidR="00BD3BED" w:rsidRDefault="00BD3BED" w:rsidP="00B45E1D">
            <w:pPr>
              <w:pStyle w:val="Default"/>
              <w:rPr>
                <w:rFonts w:ascii="Arial" w:hAnsi="Arial" w:cs="Arial"/>
                <w:b/>
                <w:bCs/>
                <w:sz w:val="22"/>
                <w:szCs w:val="22"/>
              </w:rPr>
            </w:pPr>
            <w:r>
              <w:rPr>
                <w:rFonts w:ascii="Arial" w:hAnsi="Arial" w:cs="Arial"/>
                <w:b/>
                <w:bCs/>
                <w:sz w:val="22"/>
                <w:szCs w:val="22"/>
              </w:rPr>
              <w:t>Varigt inhabile borgere har behov for sygeplejeindsats</w:t>
            </w:r>
          </w:p>
          <w:p w14:paraId="1E144A44" w14:textId="77777777" w:rsidR="00BD3BED" w:rsidRDefault="00BD3BED" w:rsidP="00BD3BED">
            <w:pPr>
              <w:numPr>
                <w:ilvl w:val="0"/>
                <w:numId w:val="38"/>
              </w:numPr>
              <w:autoSpaceDE w:val="0"/>
              <w:autoSpaceDN w:val="0"/>
              <w:adjustRightInd w:val="0"/>
              <w:jc w:val="left"/>
            </w:pPr>
            <w:r w:rsidRPr="006D5EDB">
              <w:t xml:space="preserve">Kontaktpersonen og de medicinansvarlige skal tage kontakt til lægen, hvis de vurderer, at manglende behandling vil medføre et væsentligt forringet helbred for en varigt inhabil beboer. </w:t>
            </w:r>
          </w:p>
          <w:p w14:paraId="0B71DFE2" w14:textId="77777777" w:rsidR="00BD3BED" w:rsidRPr="006D5EDB" w:rsidRDefault="00BD3BED" w:rsidP="00BD3BED">
            <w:pPr>
              <w:numPr>
                <w:ilvl w:val="0"/>
                <w:numId w:val="38"/>
              </w:numPr>
              <w:autoSpaceDE w:val="0"/>
              <w:autoSpaceDN w:val="0"/>
              <w:adjustRightInd w:val="0"/>
              <w:jc w:val="left"/>
            </w:pPr>
            <w:r w:rsidRPr="006D5EDB">
              <w:t>Det kan fx</w:t>
            </w:r>
            <w:r w:rsidRPr="00B672B7">
              <w:t xml:space="preserve"> være hvis beboeren modsætter sig anlæggelse af blærekateter, insulininjektion, </w:t>
            </w:r>
            <w:proofErr w:type="spellStart"/>
            <w:r w:rsidRPr="00B672B7">
              <w:t>sårbehandling</w:t>
            </w:r>
            <w:proofErr w:type="spellEnd"/>
            <w:r w:rsidRPr="00B672B7">
              <w:t xml:space="preserve"> af diabetisk</w:t>
            </w:r>
            <w:r>
              <w:t>e sår mm.</w:t>
            </w:r>
          </w:p>
          <w:p w14:paraId="2AA69807" w14:textId="77777777" w:rsidR="00BD3BED" w:rsidRDefault="00BD3BED" w:rsidP="00B45E1D">
            <w:pPr>
              <w:pStyle w:val="Default"/>
              <w:rPr>
                <w:rFonts w:ascii="Arial" w:hAnsi="Arial" w:cs="Arial"/>
                <w:b/>
                <w:bCs/>
                <w:sz w:val="22"/>
                <w:szCs w:val="22"/>
              </w:rPr>
            </w:pPr>
          </w:p>
          <w:p w14:paraId="5422FD7D" w14:textId="77777777" w:rsidR="00BD3BED" w:rsidRPr="009F6676" w:rsidRDefault="00BD3BED" w:rsidP="00B45E1D">
            <w:pPr>
              <w:pStyle w:val="Default"/>
              <w:rPr>
                <w:rFonts w:ascii="Arial" w:hAnsi="Arial" w:cs="Arial"/>
                <w:sz w:val="22"/>
                <w:szCs w:val="22"/>
              </w:rPr>
            </w:pPr>
            <w:r w:rsidRPr="009F6676">
              <w:rPr>
                <w:rFonts w:ascii="Arial" w:hAnsi="Arial" w:cs="Arial"/>
                <w:b/>
                <w:bCs/>
                <w:sz w:val="22"/>
                <w:szCs w:val="22"/>
              </w:rPr>
              <w:t xml:space="preserve">Før beslutning om tvang ved somatisk behandling </w:t>
            </w:r>
          </w:p>
          <w:p w14:paraId="5D63800C" w14:textId="77777777" w:rsidR="00BD3BED" w:rsidRPr="009F6676" w:rsidRDefault="00BD3BED" w:rsidP="00BD3BED">
            <w:pPr>
              <w:pStyle w:val="Default"/>
              <w:numPr>
                <w:ilvl w:val="0"/>
                <w:numId w:val="37"/>
              </w:numPr>
              <w:rPr>
                <w:rFonts w:ascii="Arial" w:hAnsi="Arial" w:cs="Arial"/>
                <w:sz w:val="22"/>
                <w:szCs w:val="22"/>
              </w:rPr>
            </w:pPr>
            <w:r w:rsidRPr="009F6676">
              <w:rPr>
                <w:rFonts w:ascii="Arial" w:hAnsi="Arial" w:cs="Arial"/>
                <w:sz w:val="22"/>
                <w:szCs w:val="22"/>
              </w:rPr>
              <w:t xml:space="preserve">Læge eller tandlæge, der beslutter at anvende tvang, skal indhente samtykke fra en pårørende, en værge eller en fremtidsfuldmagt fra </w:t>
            </w:r>
            <w:r>
              <w:rPr>
                <w:rFonts w:ascii="Arial" w:hAnsi="Arial" w:cs="Arial"/>
                <w:sz w:val="22"/>
                <w:szCs w:val="22"/>
              </w:rPr>
              <w:t>beboeren</w:t>
            </w:r>
          </w:p>
          <w:p w14:paraId="4D342BD1" w14:textId="77777777" w:rsidR="00BD3BED" w:rsidRDefault="00BD3BED" w:rsidP="00BD3BED">
            <w:pPr>
              <w:pStyle w:val="Default"/>
              <w:numPr>
                <w:ilvl w:val="0"/>
                <w:numId w:val="37"/>
              </w:numPr>
              <w:rPr>
                <w:rFonts w:ascii="Arial" w:hAnsi="Arial" w:cs="Arial"/>
                <w:sz w:val="22"/>
                <w:szCs w:val="22"/>
              </w:rPr>
            </w:pPr>
            <w:r w:rsidRPr="009F6676">
              <w:rPr>
                <w:rFonts w:ascii="Arial" w:hAnsi="Arial" w:cs="Arial"/>
                <w:sz w:val="22"/>
                <w:szCs w:val="22"/>
              </w:rPr>
              <w:t>Hvis det ikke er muligt at få et samtykke, kan lægen eller tandlægen i stedet indhente faglig tilslutning fra en anden læge eller tandlæge med faglig indsigt på behandlingsområdet, som ikke er involveret i behandlinge</w:t>
            </w:r>
            <w:r w:rsidRPr="00B36F05">
              <w:rPr>
                <w:rFonts w:ascii="Arial" w:hAnsi="Arial" w:cs="Arial"/>
                <w:sz w:val="22"/>
                <w:szCs w:val="22"/>
              </w:rPr>
              <w:t>n af beboeren</w:t>
            </w:r>
            <w:r w:rsidRPr="009F6676">
              <w:rPr>
                <w:rFonts w:ascii="Arial" w:hAnsi="Arial" w:cs="Arial"/>
                <w:sz w:val="22"/>
                <w:szCs w:val="22"/>
              </w:rPr>
              <w:t>.</w:t>
            </w:r>
          </w:p>
          <w:p w14:paraId="6581DA7F" w14:textId="77777777" w:rsidR="00BD3BED" w:rsidRPr="009F6676" w:rsidRDefault="00BD3BED" w:rsidP="00B45E1D">
            <w:pPr>
              <w:pStyle w:val="Default"/>
              <w:ind w:left="360"/>
              <w:rPr>
                <w:rFonts w:ascii="Arial" w:hAnsi="Arial" w:cs="Arial"/>
                <w:sz w:val="22"/>
                <w:szCs w:val="22"/>
              </w:rPr>
            </w:pPr>
          </w:p>
          <w:p w14:paraId="41A837B7" w14:textId="77777777" w:rsidR="00BD3BED" w:rsidRPr="009F6676" w:rsidRDefault="00BD3BED" w:rsidP="00B45E1D">
            <w:pPr>
              <w:pStyle w:val="Default"/>
              <w:rPr>
                <w:rFonts w:ascii="Arial" w:hAnsi="Arial" w:cs="Arial"/>
                <w:sz w:val="22"/>
                <w:szCs w:val="22"/>
              </w:rPr>
            </w:pPr>
            <w:r w:rsidRPr="009F6676">
              <w:rPr>
                <w:rFonts w:ascii="Arial" w:hAnsi="Arial" w:cs="Arial"/>
                <w:b/>
                <w:bCs/>
                <w:sz w:val="22"/>
                <w:szCs w:val="22"/>
              </w:rPr>
              <w:t xml:space="preserve">Efter beslutning om tvang ved somatisk behandling </w:t>
            </w:r>
          </w:p>
          <w:p w14:paraId="6D6E51CD" w14:textId="77777777" w:rsidR="00BD3BED" w:rsidRPr="009F6676" w:rsidRDefault="00BD3BED" w:rsidP="00BD3BED">
            <w:pPr>
              <w:pStyle w:val="Default"/>
              <w:numPr>
                <w:ilvl w:val="0"/>
                <w:numId w:val="36"/>
              </w:numPr>
              <w:rPr>
                <w:rFonts w:ascii="Arial" w:hAnsi="Arial" w:cs="Arial"/>
                <w:sz w:val="22"/>
                <w:szCs w:val="22"/>
              </w:rPr>
            </w:pPr>
            <w:r>
              <w:rPr>
                <w:rFonts w:ascii="Arial" w:hAnsi="Arial" w:cs="Arial"/>
                <w:sz w:val="22"/>
                <w:szCs w:val="22"/>
              </w:rPr>
              <w:t>Beboeren</w:t>
            </w:r>
            <w:r w:rsidRPr="009F6676">
              <w:rPr>
                <w:rFonts w:ascii="Arial" w:hAnsi="Arial" w:cs="Arial"/>
                <w:sz w:val="22"/>
                <w:szCs w:val="22"/>
              </w:rPr>
              <w:t xml:space="preserve"> informeres om beslutningen </w:t>
            </w:r>
          </w:p>
          <w:p w14:paraId="3C451C03" w14:textId="77777777" w:rsidR="00BD3BED" w:rsidRPr="009F6676" w:rsidRDefault="00BD3BED" w:rsidP="00BD3BED">
            <w:pPr>
              <w:pStyle w:val="Default"/>
              <w:numPr>
                <w:ilvl w:val="0"/>
                <w:numId w:val="36"/>
              </w:numPr>
              <w:rPr>
                <w:rFonts w:ascii="Arial" w:hAnsi="Arial" w:cs="Arial"/>
                <w:sz w:val="22"/>
                <w:szCs w:val="22"/>
              </w:rPr>
            </w:pPr>
            <w:r w:rsidRPr="009F6676">
              <w:rPr>
                <w:rFonts w:ascii="Arial" w:hAnsi="Arial" w:cs="Arial"/>
                <w:sz w:val="22"/>
                <w:szCs w:val="22"/>
              </w:rPr>
              <w:t xml:space="preserve">Tvangstiltag skal være mindst muligt indgribende og stå i et rimeligt forhold til behovet for behandling </w:t>
            </w:r>
          </w:p>
          <w:p w14:paraId="4250605A" w14:textId="77777777" w:rsidR="00BD3BED" w:rsidRPr="009F6676" w:rsidRDefault="00BD3BED" w:rsidP="00BD3BED">
            <w:pPr>
              <w:pStyle w:val="Default"/>
              <w:numPr>
                <w:ilvl w:val="0"/>
                <w:numId w:val="36"/>
              </w:numPr>
              <w:rPr>
                <w:rFonts w:ascii="Arial" w:hAnsi="Arial" w:cs="Arial"/>
                <w:sz w:val="22"/>
                <w:szCs w:val="22"/>
              </w:rPr>
            </w:pPr>
            <w:r w:rsidRPr="009F6676">
              <w:rPr>
                <w:rFonts w:ascii="Arial" w:hAnsi="Arial" w:cs="Arial"/>
                <w:sz w:val="22"/>
                <w:szCs w:val="22"/>
              </w:rPr>
              <w:t xml:space="preserve">Den ansvarlige læge eller tandlæge beslutter, hvilke tvangstiltag der skal anvendes </w:t>
            </w:r>
          </w:p>
          <w:p w14:paraId="208D3E8E" w14:textId="77777777" w:rsidR="00BD3BED" w:rsidRDefault="00BD3BED" w:rsidP="00B45E1D">
            <w:pPr>
              <w:pStyle w:val="Default"/>
              <w:rPr>
                <w:rFonts w:ascii="Arial" w:hAnsi="Arial" w:cs="Arial"/>
                <w:b/>
                <w:bCs/>
                <w:sz w:val="22"/>
                <w:szCs w:val="22"/>
              </w:rPr>
            </w:pPr>
          </w:p>
          <w:p w14:paraId="65A5899A" w14:textId="77777777" w:rsidR="00BD3BED" w:rsidRPr="009F6676" w:rsidRDefault="00BD3BED" w:rsidP="00B45E1D">
            <w:pPr>
              <w:pStyle w:val="Default"/>
              <w:rPr>
                <w:rFonts w:ascii="Arial" w:hAnsi="Arial" w:cs="Arial"/>
                <w:sz w:val="22"/>
                <w:szCs w:val="22"/>
              </w:rPr>
            </w:pPr>
            <w:r w:rsidRPr="009F6676">
              <w:rPr>
                <w:rFonts w:ascii="Arial" w:hAnsi="Arial" w:cs="Arial"/>
                <w:b/>
                <w:bCs/>
                <w:sz w:val="22"/>
                <w:szCs w:val="22"/>
              </w:rPr>
              <w:t xml:space="preserve">Gennemførelse af tvang ved somatisk behandling </w:t>
            </w:r>
          </w:p>
          <w:p w14:paraId="1A9CC5BE" w14:textId="77777777" w:rsidR="00BD3BED" w:rsidRPr="009F6676" w:rsidRDefault="00BD3BED" w:rsidP="00BD3BED">
            <w:pPr>
              <w:pStyle w:val="Default"/>
              <w:numPr>
                <w:ilvl w:val="0"/>
                <w:numId w:val="35"/>
              </w:numPr>
              <w:rPr>
                <w:rFonts w:ascii="Arial" w:hAnsi="Arial" w:cs="Arial"/>
                <w:sz w:val="22"/>
                <w:szCs w:val="22"/>
              </w:rPr>
            </w:pPr>
            <w:r w:rsidRPr="009F6676">
              <w:rPr>
                <w:rFonts w:ascii="Arial" w:hAnsi="Arial" w:cs="Arial"/>
                <w:sz w:val="22"/>
                <w:szCs w:val="22"/>
              </w:rPr>
              <w:t xml:space="preserve">Gennemførelsen af tvangsbehandling kan af læge/ tandlæge delegeres til andre, fx </w:t>
            </w:r>
            <w:r>
              <w:rPr>
                <w:rFonts w:ascii="Arial" w:hAnsi="Arial" w:cs="Arial"/>
                <w:sz w:val="22"/>
                <w:szCs w:val="22"/>
              </w:rPr>
              <w:t xml:space="preserve">pædagoger, </w:t>
            </w:r>
            <w:r w:rsidRPr="009F6676">
              <w:rPr>
                <w:rFonts w:ascii="Arial" w:hAnsi="Arial" w:cs="Arial"/>
                <w:sz w:val="22"/>
                <w:szCs w:val="22"/>
              </w:rPr>
              <w:t xml:space="preserve">sygeplejersker, </w:t>
            </w:r>
            <w:proofErr w:type="spellStart"/>
            <w:r w:rsidRPr="009F6676">
              <w:rPr>
                <w:rFonts w:ascii="Arial" w:hAnsi="Arial" w:cs="Arial"/>
                <w:sz w:val="22"/>
                <w:szCs w:val="22"/>
              </w:rPr>
              <w:t>sosu</w:t>
            </w:r>
            <w:proofErr w:type="spellEnd"/>
            <w:r w:rsidRPr="009F6676">
              <w:rPr>
                <w:rFonts w:ascii="Arial" w:hAnsi="Arial" w:cs="Arial"/>
                <w:sz w:val="22"/>
                <w:szCs w:val="22"/>
              </w:rPr>
              <w:t xml:space="preserve">-assistenter og –hjælpere </w:t>
            </w:r>
          </w:p>
          <w:p w14:paraId="0B5AD9FA" w14:textId="77777777" w:rsidR="00BD3BED" w:rsidRPr="009F6676" w:rsidRDefault="00BD3BED" w:rsidP="00BD3BED">
            <w:pPr>
              <w:pStyle w:val="Default"/>
              <w:numPr>
                <w:ilvl w:val="0"/>
                <w:numId w:val="35"/>
              </w:numPr>
              <w:rPr>
                <w:rFonts w:ascii="Arial" w:hAnsi="Arial" w:cs="Arial"/>
                <w:sz w:val="22"/>
                <w:szCs w:val="22"/>
              </w:rPr>
            </w:pPr>
            <w:r w:rsidRPr="009F6676">
              <w:rPr>
                <w:rFonts w:ascii="Arial" w:hAnsi="Arial" w:cs="Arial"/>
                <w:sz w:val="22"/>
                <w:szCs w:val="22"/>
              </w:rPr>
              <w:t xml:space="preserve">Lægen eller tandlægen har det overordnede ansvar for behandlingen og skal give klar og entydig instruktion under hele forløbet </w:t>
            </w:r>
          </w:p>
          <w:p w14:paraId="3768F807" w14:textId="77777777" w:rsidR="00BD3BED" w:rsidRPr="009F6676" w:rsidRDefault="00BD3BED" w:rsidP="00BD3BED">
            <w:pPr>
              <w:pStyle w:val="Default"/>
              <w:numPr>
                <w:ilvl w:val="0"/>
                <w:numId w:val="35"/>
              </w:numPr>
              <w:rPr>
                <w:rFonts w:ascii="Arial" w:hAnsi="Arial" w:cs="Arial"/>
                <w:sz w:val="22"/>
                <w:szCs w:val="22"/>
              </w:rPr>
            </w:pPr>
            <w:r>
              <w:rPr>
                <w:rFonts w:ascii="Arial" w:hAnsi="Arial" w:cs="Arial"/>
                <w:sz w:val="22"/>
                <w:szCs w:val="22"/>
              </w:rPr>
              <w:t xml:space="preserve">Pædagogen, </w:t>
            </w:r>
            <w:r w:rsidRPr="009F6676">
              <w:rPr>
                <w:rFonts w:ascii="Arial" w:hAnsi="Arial" w:cs="Arial"/>
                <w:sz w:val="22"/>
                <w:szCs w:val="22"/>
              </w:rPr>
              <w:t xml:space="preserve">Sygeplejersker, </w:t>
            </w:r>
            <w:proofErr w:type="spellStart"/>
            <w:r w:rsidRPr="009F6676">
              <w:rPr>
                <w:rFonts w:ascii="Arial" w:hAnsi="Arial" w:cs="Arial"/>
                <w:sz w:val="22"/>
                <w:szCs w:val="22"/>
              </w:rPr>
              <w:t>sosu</w:t>
            </w:r>
            <w:proofErr w:type="spellEnd"/>
            <w:r w:rsidRPr="009F6676">
              <w:rPr>
                <w:rFonts w:ascii="Arial" w:hAnsi="Arial" w:cs="Arial"/>
                <w:sz w:val="22"/>
                <w:szCs w:val="22"/>
              </w:rPr>
              <w:t xml:space="preserve">-assistenter og –hjælpere udfører de tvangsindgreb, som lægen eller tandlægen vurderer, er nødvendige for at gennemføre behandlingen, fx at holde </w:t>
            </w:r>
            <w:r>
              <w:rPr>
                <w:rFonts w:ascii="Arial" w:hAnsi="Arial" w:cs="Arial"/>
                <w:sz w:val="22"/>
                <w:szCs w:val="22"/>
              </w:rPr>
              <w:t>beboeren</w:t>
            </w:r>
            <w:r w:rsidRPr="009F6676">
              <w:rPr>
                <w:rFonts w:ascii="Arial" w:hAnsi="Arial" w:cs="Arial"/>
                <w:sz w:val="22"/>
                <w:szCs w:val="22"/>
              </w:rPr>
              <w:t xml:space="preserve"> fast </w:t>
            </w:r>
          </w:p>
          <w:p w14:paraId="510004D3" w14:textId="77777777" w:rsidR="00BD3BED" w:rsidRPr="009F6676" w:rsidRDefault="00BD3BED" w:rsidP="00BD3BED">
            <w:pPr>
              <w:pStyle w:val="Default"/>
              <w:numPr>
                <w:ilvl w:val="0"/>
                <w:numId w:val="35"/>
              </w:numPr>
              <w:rPr>
                <w:rFonts w:ascii="Arial" w:hAnsi="Arial" w:cs="Arial"/>
                <w:sz w:val="22"/>
                <w:szCs w:val="22"/>
              </w:rPr>
            </w:pPr>
            <w:r w:rsidRPr="009F6676">
              <w:rPr>
                <w:rFonts w:ascii="Arial" w:hAnsi="Arial" w:cs="Arial"/>
                <w:sz w:val="22"/>
                <w:szCs w:val="22"/>
              </w:rPr>
              <w:t xml:space="preserve">Beslutningen om at anvende tvang kan maksimalt gælde i fire måneder </w:t>
            </w:r>
          </w:p>
          <w:p w14:paraId="08C5FC28" w14:textId="77777777" w:rsidR="00BD3BED" w:rsidRPr="00B00DC7" w:rsidRDefault="00BD3BED" w:rsidP="00B45E1D">
            <w:pPr>
              <w:pStyle w:val="Default"/>
              <w:rPr>
                <w:rFonts w:ascii="Arial" w:hAnsi="Arial" w:cs="Arial"/>
                <w:b/>
                <w:bCs/>
                <w:sz w:val="22"/>
                <w:szCs w:val="22"/>
              </w:rPr>
            </w:pPr>
          </w:p>
        </w:tc>
      </w:tr>
      <w:tr w:rsidR="00BD3BED" w:rsidRPr="00473C7B" w14:paraId="6EED3C95"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4852B4F4" w14:textId="77777777" w:rsidR="00BD3BED" w:rsidRPr="002A5830" w:rsidRDefault="00BD3BED" w:rsidP="00B45E1D">
            <w:pPr>
              <w:pStyle w:val="Default"/>
              <w:rPr>
                <w:rFonts w:ascii="Arial" w:hAnsi="Arial" w:cs="Arial"/>
                <w:b/>
                <w:sz w:val="22"/>
                <w:szCs w:val="22"/>
              </w:rPr>
            </w:pPr>
            <w:r w:rsidRPr="002A5830">
              <w:rPr>
                <w:rFonts w:ascii="Arial" w:hAnsi="Arial" w:cs="Arial"/>
                <w:b/>
                <w:sz w:val="22"/>
                <w:szCs w:val="22"/>
              </w:rPr>
              <w:lastRenderedPageBreak/>
              <w:t xml:space="preserve">Tvangsprotokol– </w:t>
            </w:r>
            <w:r>
              <w:rPr>
                <w:rFonts w:ascii="Arial" w:hAnsi="Arial" w:cs="Arial"/>
                <w:b/>
                <w:sz w:val="22"/>
                <w:szCs w:val="22"/>
              </w:rPr>
              <w:t xml:space="preserve">og </w:t>
            </w:r>
            <w:r w:rsidRPr="002A5830">
              <w:rPr>
                <w:rFonts w:ascii="Arial" w:hAnsi="Arial" w:cs="Arial"/>
                <w:b/>
                <w:sz w:val="22"/>
                <w:szCs w:val="22"/>
              </w:rPr>
              <w:t>dokumentation ved tvangsbehandling</w:t>
            </w:r>
          </w:p>
          <w:p w14:paraId="27F4C471" w14:textId="77777777" w:rsidR="00BD3BED" w:rsidRDefault="00BD3BED" w:rsidP="00B45E1D">
            <w:pPr>
              <w:pStyle w:val="Default"/>
              <w:rPr>
                <w:rFonts w:ascii="Arial" w:hAnsi="Arial" w:cs="Arial"/>
                <w:b/>
                <w:bCs/>
                <w:sz w:val="22"/>
                <w:szCs w:val="22"/>
              </w:rPr>
            </w:pPr>
          </w:p>
          <w:p w14:paraId="7420E7AF" w14:textId="77777777" w:rsidR="00BD3BED" w:rsidRPr="00473C7B" w:rsidRDefault="00BD3BED" w:rsidP="00B45E1D">
            <w:pPr>
              <w:pStyle w:val="Default"/>
              <w:rPr>
                <w:rFonts w:eastAsia="Arial"/>
              </w:rPr>
            </w:pP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2D650D1A" w14:textId="77777777" w:rsidR="00BD3BED" w:rsidRPr="00B00DC7" w:rsidRDefault="00BD3BED" w:rsidP="00B45E1D">
            <w:pPr>
              <w:pStyle w:val="Default"/>
              <w:rPr>
                <w:rFonts w:ascii="Arial" w:hAnsi="Arial" w:cs="Arial"/>
                <w:sz w:val="22"/>
                <w:szCs w:val="22"/>
              </w:rPr>
            </w:pPr>
            <w:r w:rsidRPr="00B00DC7">
              <w:rPr>
                <w:rFonts w:ascii="Arial" w:hAnsi="Arial" w:cs="Arial"/>
                <w:b/>
                <w:bCs/>
                <w:sz w:val="22"/>
                <w:szCs w:val="22"/>
              </w:rPr>
              <w:t xml:space="preserve">Dokumentation ved tvangsbehandling </w:t>
            </w:r>
          </w:p>
          <w:p w14:paraId="18B460E9" w14:textId="77777777" w:rsidR="00BD3BED" w:rsidRDefault="00BD3BED" w:rsidP="00B45E1D">
            <w:pPr>
              <w:pStyle w:val="Default"/>
              <w:rPr>
                <w:rFonts w:ascii="Arial" w:hAnsi="Arial" w:cs="Arial"/>
                <w:sz w:val="22"/>
                <w:szCs w:val="22"/>
              </w:rPr>
            </w:pPr>
            <w:r>
              <w:rPr>
                <w:rFonts w:ascii="Arial" w:hAnsi="Arial" w:cs="Arial"/>
                <w:sz w:val="22"/>
                <w:szCs w:val="22"/>
              </w:rPr>
              <w:t>Lægen/</w:t>
            </w:r>
            <w:r w:rsidRPr="00B00DC7">
              <w:rPr>
                <w:rFonts w:ascii="Arial" w:hAnsi="Arial" w:cs="Arial"/>
                <w:sz w:val="22"/>
                <w:szCs w:val="22"/>
              </w:rPr>
              <w:t>tandlægen skal forud for tvangsbehandlingen udarbejde en tvangsprotokol som blandt andet beskriver:</w:t>
            </w:r>
          </w:p>
          <w:p w14:paraId="5AF6828A" w14:textId="77777777" w:rsidR="00BD3BED" w:rsidRPr="00B00DC7" w:rsidRDefault="00BD3BED" w:rsidP="00B45E1D">
            <w:pPr>
              <w:pStyle w:val="Default"/>
              <w:rPr>
                <w:rFonts w:ascii="Arial" w:hAnsi="Arial" w:cs="Arial"/>
                <w:sz w:val="22"/>
                <w:szCs w:val="22"/>
              </w:rPr>
            </w:pPr>
          </w:p>
          <w:p w14:paraId="3DFAD54E" w14:textId="77777777" w:rsidR="00BD3BED" w:rsidRPr="00B00DC7" w:rsidRDefault="00BD3BED" w:rsidP="00BD3BED">
            <w:pPr>
              <w:pStyle w:val="Default"/>
              <w:numPr>
                <w:ilvl w:val="0"/>
                <w:numId w:val="40"/>
              </w:numPr>
              <w:rPr>
                <w:rFonts w:ascii="Arial" w:hAnsi="Arial" w:cs="Arial"/>
                <w:sz w:val="22"/>
                <w:szCs w:val="22"/>
              </w:rPr>
            </w:pPr>
            <w:r w:rsidRPr="00B00DC7">
              <w:rPr>
                <w:rFonts w:ascii="Arial" w:hAnsi="Arial" w:cs="Arial"/>
                <w:sz w:val="22"/>
                <w:szCs w:val="22"/>
              </w:rPr>
              <w:t xml:space="preserve">Den ordinerede tvangsbehandlings art og omfang </w:t>
            </w:r>
          </w:p>
          <w:p w14:paraId="5AD5DDC3" w14:textId="77777777" w:rsidR="00BD3BED" w:rsidRPr="00B00DC7" w:rsidRDefault="00BD3BED" w:rsidP="00BD3BED">
            <w:pPr>
              <w:pStyle w:val="Default"/>
              <w:numPr>
                <w:ilvl w:val="0"/>
                <w:numId w:val="40"/>
              </w:numPr>
              <w:rPr>
                <w:rFonts w:ascii="Arial" w:hAnsi="Arial" w:cs="Arial"/>
                <w:sz w:val="22"/>
                <w:szCs w:val="22"/>
              </w:rPr>
            </w:pPr>
            <w:r w:rsidRPr="00B00DC7">
              <w:rPr>
                <w:rFonts w:ascii="Arial" w:hAnsi="Arial" w:cs="Arial"/>
                <w:sz w:val="22"/>
                <w:szCs w:val="22"/>
              </w:rPr>
              <w:t xml:space="preserve">Besluttet varighed af tvangsbehandlingen </w:t>
            </w:r>
          </w:p>
          <w:p w14:paraId="59A9662B" w14:textId="77777777" w:rsidR="00BD3BED" w:rsidRPr="00B00DC7" w:rsidRDefault="00BD3BED" w:rsidP="00BD3BED">
            <w:pPr>
              <w:pStyle w:val="Default"/>
              <w:numPr>
                <w:ilvl w:val="0"/>
                <w:numId w:val="40"/>
              </w:numPr>
              <w:rPr>
                <w:rFonts w:ascii="Arial" w:hAnsi="Arial" w:cs="Arial"/>
                <w:sz w:val="22"/>
                <w:szCs w:val="22"/>
              </w:rPr>
            </w:pPr>
            <w:r w:rsidRPr="00B00DC7">
              <w:rPr>
                <w:rFonts w:ascii="Arial" w:hAnsi="Arial" w:cs="Arial"/>
                <w:sz w:val="22"/>
                <w:szCs w:val="22"/>
              </w:rPr>
              <w:t xml:space="preserve">Baggrund og begrundelse for beslutning om tvangsbehandling, herunder konsekvenser af undladelse af behandlingen </w:t>
            </w:r>
          </w:p>
          <w:p w14:paraId="52C161C7" w14:textId="77777777" w:rsidR="00BD3BED" w:rsidRPr="00B00DC7" w:rsidRDefault="00BD3BED" w:rsidP="00BD3BED">
            <w:pPr>
              <w:pStyle w:val="Default"/>
              <w:numPr>
                <w:ilvl w:val="0"/>
                <w:numId w:val="40"/>
              </w:numPr>
              <w:rPr>
                <w:rFonts w:ascii="Arial" w:hAnsi="Arial" w:cs="Arial"/>
                <w:sz w:val="22"/>
                <w:szCs w:val="22"/>
              </w:rPr>
            </w:pPr>
            <w:r w:rsidRPr="00B00DC7">
              <w:rPr>
                <w:rFonts w:ascii="Arial" w:hAnsi="Arial" w:cs="Arial"/>
                <w:sz w:val="22"/>
                <w:szCs w:val="22"/>
              </w:rPr>
              <w:t xml:space="preserve">Oplysninger om forsøgt tillidsskabende tiltag og motivation inden beslutning om tvangsbehandling </w:t>
            </w:r>
          </w:p>
          <w:p w14:paraId="5FD0E72F" w14:textId="77777777" w:rsidR="00BD3BED" w:rsidRDefault="00BD3BED" w:rsidP="00BD3BED">
            <w:pPr>
              <w:pStyle w:val="Default"/>
              <w:numPr>
                <w:ilvl w:val="0"/>
                <w:numId w:val="40"/>
              </w:numPr>
              <w:rPr>
                <w:rFonts w:ascii="Arial" w:hAnsi="Arial" w:cs="Arial"/>
                <w:sz w:val="22"/>
                <w:szCs w:val="22"/>
              </w:rPr>
            </w:pPr>
            <w:r w:rsidRPr="00B00DC7">
              <w:rPr>
                <w:rFonts w:ascii="Arial" w:hAnsi="Arial" w:cs="Arial"/>
                <w:sz w:val="22"/>
                <w:szCs w:val="22"/>
              </w:rPr>
              <w:t xml:space="preserve">Hvorvidt lægen eller tandlægen har indhentet samtykke fra: </w:t>
            </w:r>
          </w:p>
          <w:p w14:paraId="6C41D262" w14:textId="77777777" w:rsidR="00BD3BED" w:rsidRDefault="00BD3BED" w:rsidP="00B45E1D">
            <w:pPr>
              <w:pStyle w:val="Default"/>
              <w:ind w:left="720"/>
              <w:rPr>
                <w:rFonts w:ascii="Arial" w:hAnsi="Arial" w:cs="Arial"/>
                <w:sz w:val="22"/>
                <w:szCs w:val="22"/>
              </w:rPr>
            </w:pPr>
            <w:r w:rsidRPr="00B00DC7">
              <w:rPr>
                <w:rFonts w:ascii="Arial" w:hAnsi="Arial" w:cs="Arial"/>
                <w:sz w:val="22"/>
                <w:szCs w:val="22"/>
              </w:rPr>
              <w:t xml:space="preserve">a) </w:t>
            </w:r>
            <w:r>
              <w:rPr>
                <w:rFonts w:ascii="Arial" w:hAnsi="Arial" w:cs="Arial"/>
                <w:sz w:val="22"/>
                <w:szCs w:val="22"/>
              </w:rPr>
              <w:t>beboerens</w:t>
            </w:r>
            <w:r w:rsidRPr="00B00DC7">
              <w:rPr>
                <w:rFonts w:ascii="Arial" w:hAnsi="Arial" w:cs="Arial"/>
                <w:sz w:val="22"/>
                <w:szCs w:val="22"/>
              </w:rPr>
              <w:t xml:space="preserve"> værge, nærmeste pårørende eller fremtidsfuldmægtig, eller </w:t>
            </w:r>
          </w:p>
          <w:p w14:paraId="3430F16A" w14:textId="77777777" w:rsidR="00BD3BED" w:rsidRPr="00B00DC7" w:rsidRDefault="00BD3BED" w:rsidP="00B45E1D">
            <w:pPr>
              <w:pStyle w:val="Default"/>
              <w:ind w:left="720"/>
              <w:rPr>
                <w:rFonts w:ascii="Arial" w:hAnsi="Arial" w:cs="Arial"/>
                <w:sz w:val="22"/>
                <w:szCs w:val="22"/>
              </w:rPr>
            </w:pPr>
            <w:r w:rsidRPr="00B00DC7">
              <w:rPr>
                <w:rFonts w:ascii="Arial" w:hAnsi="Arial" w:cs="Arial"/>
                <w:sz w:val="22"/>
                <w:szCs w:val="22"/>
              </w:rPr>
              <w:lastRenderedPageBreak/>
              <w:t xml:space="preserve">b) tilslutning fra anden læge eller tandlæge med faglig indsigt på området, som ikke har eller skal deltage i behandlingen af </w:t>
            </w:r>
            <w:r>
              <w:rPr>
                <w:rFonts w:ascii="Arial" w:hAnsi="Arial" w:cs="Arial"/>
                <w:sz w:val="22"/>
                <w:szCs w:val="22"/>
              </w:rPr>
              <w:t>beboeren</w:t>
            </w:r>
            <w:r w:rsidRPr="00B00DC7">
              <w:rPr>
                <w:rFonts w:ascii="Arial" w:hAnsi="Arial" w:cs="Arial"/>
                <w:sz w:val="22"/>
                <w:szCs w:val="22"/>
              </w:rPr>
              <w:t xml:space="preserve">. </w:t>
            </w:r>
          </w:p>
          <w:p w14:paraId="54AA3411" w14:textId="77777777" w:rsidR="00BD3BED" w:rsidRPr="003C4AF7" w:rsidRDefault="00BD3BED" w:rsidP="00BD3BED">
            <w:pPr>
              <w:pStyle w:val="Default"/>
              <w:numPr>
                <w:ilvl w:val="0"/>
                <w:numId w:val="40"/>
              </w:numPr>
              <w:rPr>
                <w:rFonts w:ascii="Arial" w:hAnsi="Arial" w:cs="Arial"/>
                <w:sz w:val="22"/>
                <w:szCs w:val="22"/>
              </w:rPr>
            </w:pPr>
            <w:r w:rsidRPr="00EC00E8">
              <w:rPr>
                <w:rFonts w:ascii="Arial" w:hAnsi="Arial" w:cs="Arial"/>
                <w:sz w:val="22"/>
                <w:szCs w:val="22"/>
              </w:rPr>
              <w:t xml:space="preserve">Beskrivelse af behandlingsstedets opgave og ansvar. Behandlingsstedet kan sige fra over for opgaven hvis </w:t>
            </w:r>
            <w:r>
              <w:rPr>
                <w:rFonts w:ascii="Arial" w:hAnsi="Arial" w:cs="Arial"/>
                <w:sz w:val="22"/>
                <w:szCs w:val="22"/>
              </w:rPr>
              <w:t xml:space="preserve">behandlingsstedet </w:t>
            </w:r>
            <w:r w:rsidRPr="00EC00E8">
              <w:rPr>
                <w:rFonts w:ascii="Arial" w:hAnsi="Arial" w:cs="Arial"/>
                <w:sz w:val="22"/>
                <w:szCs w:val="22"/>
              </w:rPr>
              <w:t xml:space="preserve">ikke </w:t>
            </w:r>
            <w:r>
              <w:rPr>
                <w:rFonts w:ascii="Arial" w:hAnsi="Arial" w:cs="Arial"/>
                <w:sz w:val="22"/>
                <w:szCs w:val="22"/>
              </w:rPr>
              <w:t>ser sig i stand til at løse opgaven.</w:t>
            </w:r>
          </w:p>
          <w:p w14:paraId="209C51BC" w14:textId="77777777" w:rsidR="00BD3BED" w:rsidRPr="00B00DC7" w:rsidRDefault="00BD3BED" w:rsidP="00B45E1D">
            <w:pPr>
              <w:pStyle w:val="Default"/>
              <w:rPr>
                <w:rFonts w:ascii="Arial" w:hAnsi="Arial" w:cs="Arial"/>
                <w:sz w:val="22"/>
                <w:szCs w:val="22"/>
              </w:rPr>
            </w:pPr>
          </w:p>
          <w:p w14:paraId="27F85FCE" w14:textId="77777777" w:rsidR="00BD3BED" w:rsidRPr="00B00DC7" w:rsidRDefault="00BD3BED" w:rsidP="00B45E1D">
            <w:pPr>
              <w:pStyle w:val="Default"/>
              <w:rPr>
                <w:rFonts w:ascii="Arial" w:hAnsi="Arial" w:cs="Arial"/>
                <w:sz w:val="22"/>
                <w:szCs w:val="22"/>
              </w:rPr>
            </w:pPr>
            <w:r w:rsidRPr="00B00DC7">
              <w:rPr>
                <w:rFonts w:ascii="Arial" w:hAnsi="Arial" w:cs="Arial"/>
                <w:sz w:val="22"/>
                <w:szCs w:val="22"/>
              </w:rPr>
              <w:t xml:space="preserve">Det behandlingssted, der har fået delegeret </w:t>
            </w:r>
            <w:r>
              <w:rPr>
                <w:rFonts w:ascii="Arial" w:hAnsi="Arial" w:cs="Arial"/>
                <w:sz w:val="22"/>
                <w:szCs w:val="22"/>
              </w:rPr>
              <w:t xml:space="preserve">opgaven med </w:t>
            </w:r>
            <w:r w:rsidRPr="00B00DC7">
              <w:rPr>
                <w:rFonts w:ascii="Arial" w:hAnsi="Arial" w:cs="Arial"/>
                <w:sz w:val="22"/>
                <w:szCs w:val="22"/>
              </w:rPr>
              <w:t>at anvende tvangsbehandling, skal løbende dokumentere følgende i tvangsprotokollen:</w:t>
            </w:r>
          </w:p>
          <w:p w14:paraId="7E8038C0" w14:textId="77777777" w:rsidR="00BD3BED" w:rsidRPr="00B00DC7" w:rsidRDefault="00BD3BED" w:rsidP="00BD3BED">
            <w:pPr>
              <w:pStyle w:val="Default"/>
              <w:numPr>
                <w:ilvl w:val="0"/>
                <w:numId w:val="39"/>
              </w:numPr>
              <w:ind w:left="360"/>
              <w:rPr>
                <w:rFonts w:ascii="Arial" w:hAnsi="Arial" w:cs="Arial"/>
                <w:sz w:val="22"/>
                <w:szCs w:val="22"/>
              </w:rPr>
            </w:pPr>
            <w:r w:rsidRPr="00B00DC7">
              <w:rPr>
                <w:rFonts w:ascii="Arial" w:hAnsi="Arial" w:cs="Arial"/>
                <w:sz w:val="22"/>
                <w:szCs w:val="22"/>
              </w:rPr>
              <w:t xml:space="preserve">Dato og klokkeslæt for hver gang tvangsbehandling anvendes </w:t>
            </w:r>
          </w:p>
          <w:p w14:paraId="180E1291" w14:textId="77777777" w:rsidR="00BD3BED" w:rsidRPr="00B00DC7" w:rsidRDefault="00BD3BED" w:rsidP="00BD3BED">
            <w:pPr>
              <w:pStyle w:val="Default"/>
              <w:numPr>
                <w:ilvl w:val="0"/>
                <w:numId w:val="39"/>
              </w:numPr>
              <w:ind w:left="360"/>
              <w:rPr>
                <w:rFonts w:ascii="Arial" w:hAnsi="Arial" w:cs="Arial"/>
                <w:sz w:val="22"/>
                <w:szCs w:val="22"/>
              </w:rPr>
            </w:pPr>
            <w:r w:rsidRPr="00B00DC7">
              <w:rPr>
                <w:rFonts w:ascii="Arial" w:hAnsi="Arial" w:cs="Arial"/>
                <w:sz w:val="22"/>
                <w:szCs w:val="22"/>
              </w:rPr>
              <w:t>Navn, autorisations</w:t>
            </w:r>
            <w:r>
              <w:rPr>
                <w:rFonts w:ascii="Arial" w:hAnsi="Arial" w:cs="Arial"/>
                <w:sz w:val="22"/>
                <w:szCs w:val="22"/>
              </w:rPr>
              <w:t xml:space="preserve"> </w:t>
            </w:r>
            <w:r w:rsidRPr="00B00DC7">
              <w:rPr>
                <w:rFonts w:ascii="Arial" w:hAnsi="Arial" w:cs="Arial"/>
                <w:sz w:val="22"/>
                <w:szCs w:val="22"/>
              </w:rPr>
              <w:t xml:space="preserve">ID eller titel på de personer, der anvender tvangsbehandling. </w:t>
            </w:r>
          </w:p>
          <w:p w14:paraId="6EEAFF0B" w14:textId="77777777" w:rsidR="00BD3BED" w:rsidRPr="00B00DC7" w:rsidRDefault="00BD3BED" w:rsidP="00BD3BED">
            <w:pPr>
              <w:pStyle w:val="Default"/>
              <w:numPr>
                <w:ilvl w:val="0"/>
                <w:numId w:val="39"/>
              </w:numPr>
              <w:ind w:left="360"/>
              <w:rPr>
                <w:rFonts w:ascii="Arial" w:hAnsi="Arial" w:cs="Arial"/>
                <w:sz w:val="22"/>
                <w:szCs w:val="22"/>
              </w:rPr>
            </w:pPr>
            <w:r w:rsidRPr="00B00DC7">
              <w:rPr>
                <w:rFonts w:ascii="Arial" w:hAnsi="Arial" w:cs="Arial"/>
                <w:sz w:val="22"/>
                <w:szCs w:val="22"/>
              </w:rPr>
              <w:t xml:space="preserve">Oplysninger om forsøgt tillidsskabende tiltag og motivation i forbindelse med hver tvangsbehandling. </w:t>
            </w:r>
          </w:p>
          <w:p w14:paraId="484735F1" w14:textId="77777777" w:rsidR="00BD3BED" w:rsidRPr="00473C7B" w:rsidRDefault="00BD3BED" w:rsidP="00B45E1D">
            <w:pPr>
              <w:jc w:val="left"/>
              <w:rPr>
                <w:rFonts w:eastAsia="Arial"/>
              </w:rPr>
            </w:pPr>
          </w:p>
        </w:tc>
      </w:tr>
      <w:tr w:rsidR="00BD3BED" w:rsidRPr="00473C7B" w14:paraId="0FEB84C9"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1E3A1EC3" w14:textId="77777777" w:rsidR="00BD3BED" w:rsidRPr="002A5830" w:rsidRDefault="00BD3BED" w:rsidP="00B45E1D">
            <w:pPr>
              <w:jc w:val="left"/>
              <w:rPr>
                <w:rFonts w:eastAsia="Arial"/>
                <w:b/>
                <w:bCs/>
              </w:rPr>
            </w:pPr>
            <w:r w:rsidRPr="002A5830">
              <w:rPr>
                <w:rFonts w:eastAsia="Arial"/>
                <w:b/>
                <w:bCs/>
              </w:rPr>
              <w:lastRenderedPageBreak/>
              <w:t>Behandlingstestamente</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36BAD16B" w14:textId="77777777" w:rsidR="00BD3BED" w:rsidRPr="007571EC" w:rsidRDefault="00BD3BED" w:rsidP="00B45E1D">
            <w:pPr>
              <w:pStyle w:val="Default"/>
              <w:rPr>
                <w:rFonts w:ascii="Arial" w:hAnsi="Arial" w:cs="Arial"/>
              </w:rPr>
            </w:pPr>
            <w:r w:rsidRPr="007571EC">
              <w:rPr>
                <w:rFonts w:ascii="Arial" w:hAnsi="Arial" w:cs="Arial"/>
                <w:sz w:val="22"/>
                <w:szCs w:val="22"/>
              </w:rPr>
              <w:t xml:space="preserve">En borger kan ved oprettelsen af et behandlingstestamente, bestemme at man ikke ønsker at blive behandlet med tvang efter lov om anvendelse af tvang ved somatisk behandling af varigt inhabile, hvis man engang i fremtiden fx bliver dement og dermed varigt inhabil. </w:t>
            </w:r>
          </w:p>
          <w:p w14:paraId="3800C0A6" w14:textId="77777777" w:rsidR="00BD3BED" w:rsidRPr="00473C7B" w:rsidRDefault="00BD3BED" w:rsidP="00B45E1D">
            <w:pPr>
              <w:jc w:val="left"/>
              <w:rPr>
                <w:rFonts w:eastAsia="Arial"/>
              </w:rPr>
            </w:pPr>
          </w:p>
        </w:tc>
      </w:tr>
      <w:tr w:rsidR="00BD3BED" w:rsidRPr="00473C7B" w14:paraId="3C47E823"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5951DCBF" w14:textId="77777777" w:rsidR="00BD3BED" w:rsidRPr="002A5830" w:rsidRDefault="00BD3BED" w:rsidP="00B45E1D">
            <w:pPr>
              <w:jc w:val="left"/>
              <w:rPr>
                <w:rFonts w:eastAsia="Arial"/>
                <w:b/>
                <w:bCs/>
              </w:rPr>
            </w:pPr>
            <w:r>
              <w:rPr>
                <w:rFonts w:eastAsia="Arial"/>
                <w:b/>
                <w:bCs/>
              </w:rPr>
              <w:t>Litteraturreferencer</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348E8166" w14:textId="77777777" w:rsidR="00BD3BED" w:rsidRDefault="00BD3BED" w:rsidP="00B45E1D">
            <w:pPr>
              <w:pStyle w:val="Default"/>
              <w:rPr>
                <w:rFonts w:ascii="Arial" w:hAnsi="Arial" w:cs="Arial"/>
                <w:i/>
                <w:sz w:val="22"/>
                <w:szCs w:val="22"/>
              </w:rPr>
            </w:pPr>
            <w:r w:rsidRPr="00BD3BED">
              <w:rPr>
                <w:rFonts w:ascii="Arial" w:hAnsi="Arial" w:cs="Arial"/>
                <w:iCs/>
                <w:sz w:val="22"/>
                <w:szCs w:val="22"/>
              </w:rPr>
              <w:t xml:space="preserve">Sundhedsloven, LBK nr. 903 af 26/08/2019 </w:t>
            </w:r>
            <w:hyperlink r:id="rId8" w:history="1">
              <w:r w:rsidRPr="006D7AED">
                <w:rPr>
                  <w:rStyle w:val="Hyperlink"/>
                  <w:rFonts w:ascii="Arial" w:eastAsiaTheme="majorEastAsia" w:hAnsi="Arial" w:cs="Arial"/>
                  <w:i/>
                  <w:sz w:val="22"/>
                  <w:szCs w:val="22"/>
                </w:rPr>
                <w:t>https://www.retsinformation.dk/eli/lta/2019/903</w:t>
              </w:r>
            </w:hyperlink>
          </w:p>
          <w:p w14:paraId="5A07031D" w14:textId="77777777" w:rsidR="00BD3BED" w:rsidRPr="00C85C06" w:rsidRDefault="00BD3BED" w:rsidP="00B45E1D">
            <w:pPr>
              <w:pStyle w:val="Default"/>
              <w:rPr>
                <w:rFonts w:ascii="Arial" w:hAnsi="Arial" w:cs="Arial"/>
                <w:i/>
                <w:sz w:val="22"/>
                <w:szCs w:val="22"/>
              </w:rPr>
            </w:pPr>
          </w:p>
          <w:p w14:paraId="5A0F604D" w14:textId="77777777" w:rsidR="00BD3BED" w:rsidRDefault="00BD3BED" w:rsidP="00B45E1D">
            <w:pPr>
              <w:pStyle w:val="Default"/>
              <w:rPr>
                <w:rFonts w:ascii="Arial" w:hAnsi="Arial" w:cs="Arial"/>
                <w:i/>
                <w:sz w:val="22"/>
                <w:szCs w:val="22"/>
              </w:rPr>
            </w:pPr>
            <w:r w:rsidRPr="00BD3BED">
              <w:rPr>
                <w:rFonts w:ascii="Arial" w:hAnsi="Arial" w:cs="Arial"/>
                <w:sz w:val="22"/>
                <w:szCs w:val="22"/>
              </w:rPr>
              <w:t>Bekendtgørelse af lov om anvendelse af tvang ved somatisk behandling af varigt inhabile, LBK nr. 126 af 27/01/2019</w:t>
            </w:r>
            <w:r w:rsidRPr="00C85C06">
              <w:rPr>
                <w:rFonts w:ascii="Arial" w:hAnsi="Arial" w:cs="Arial"/>
                <w:i/>
                <w:sz w:val="22"/>
                <w:szCs w:val="22"/>
              </w:rPr>
              <w:t xml:space="preserve"> </w:t>
            </w:r>
            <w:hyperlink r:id="rId9" w:history="1">
              <w:r w:rsidRPr="006D7AED">
                <w:rPr>
                  <w:rStyle w:val="Hyperlink"/>
                  <w:rFonts w:ascii="Arial" w:eastAsiaTheme="majorEastAsia" w:hAnsi="Arial" w:cs="Arial"/>
                  <w:i/>
                  <w:sz w:val="22"/>
                  <w:szCs w:val="22"/>
                </w:rPr>
                <w:t>https://www.retsinformation.dk/eli/lta/2019/126</w:t>
              </w:r>
            </w:hyperlink>
          </w:p>
          <w:p w14:paraId="1AEE51FA" w14:textId="77777777" w:rsidR="00BD3BED" w:rsidRPr="00C85C06" w:rsidRDefault="00BD3BED" w:rsidP="00B45E1D">
            <w:pPr>
              <w:pStyle w:val="Default"/>
              <w:rPr>
                <w:rFonts w:ascii="Arial" w:hAnsi="Arial" w:cs="Arial"/>
                <w:i/>
                <w:sz w:val="22"/>
                <w:szCs w:val="22"/>
              </w:rPr>
            </w:pPr>
          </w:p>
          <w:p w14:paraId="43CB9BCB" w14:textId="77777777" w:rsidR="00BD3BED" w:rsidRDefault="00BD3BED" w:rsidP="00B45E1D">
            <w:pPr>
              <w:pStyle w:val="Default"/>
              <w:rPr>
                <w:rFonts w:ascii="Arial" w:hAnsi="Arial" w:cs="Arial"/>
                <w:i/>
                <w:sz w:val="22"/>
                <w:szCs w:val="22"/>
              </w:rPr>
            </w:pPr>
            <w:r w:rsidRPr="00BD3BED">
              <w:rPr>
                <w:rFonts w:ascii="Arial" w:hAnsi="Arial" w:cs="Arial"/>
                <w:sz w:val="22"/>
                <w:szCs w:val="22"/>
              </w:rPr>
              <w:t>Bekendtgørelse om tvangsprotokoller ved beslutninger og anvendelse af tvang ved somatisk behandling af varigt inhabile, BEK nr. 1396 af 04/12/2017</w:t>
            </w:r>
            <w:r>
              <w:rPr>
                <w:rFonts w:ascii="Arial" w:hAnsi="Arial" w:cs="Arial"/>
                <w:i/>
                <w:sz w:val="22"/>
                <w:szCs w:val="22"/>
              </w:rPr>
              <w:t xml:space="preserve"> </w:t>
            </w:r>
            <w:hyperlink r:id="rId10" w:history="1">
              <w:r w:rsidRPr="006D7AED">
                <w:rPr>
                  <w:rStyle w:val="Hyperlink"/>
                  <w:rFonts w:ascii="Arial" w:eastAsiaTheme="majorEastAsia" w:hAnsi="Arial" w:cs="Arial"/>
                  <w:i/>
                  <w:sz w:val="22"/>
                  <w:szCs w:val="22"/>
                </w:rPr>
                <w:t>file:///C:/Users/DQB0142/Downloads/B20170139605%20(1).pdf</w:t>
              </w:r>
            </w:hyperlink>
          </w:p>
          <w:p w14:paraId="75248885" w14:textId="77777777" w:rsidR="00BD3BED" w:rsidRDefault="00BD3BED" w:rsidP="00B45E1D">
            <w:pPr>
              <w:pStyle w:val="Default"/>
              <w:rPr>
                <w:rFonts w:ascii="Arial" w:hAnsi="Arial" w:cs="Arial"/>
                <w:i/>
                <w:sz w:val="22"/>
                <w:szCs w:val="22"/>
              </w:rPr>
            </w:pPr>
          </w:p>
          <w:p w14:paraId="159644FD" w14:textId="77777777" w:rsidR="00BD3BED" w:rsidRDefault="00BD3BED" w:rsidP="00B45E1D">
            <w:pPr>
              <w:pStyle w:val="Default"/>
              <w:ind w:left="360"/>
              <w:rPr>
                <w:rFonts w:ascii="Arial" w:hAnsi="Arial" w:cs="Arial"/>
                <w:i/>
                <w:sz w:val="22"/>
                <w:szCs w:val="22"/>
              </w:rPr>
            </w:pPr>
          </w:p>
          <w:p w14:paraId="40E15C53" w14:textId="77777777" w:rsidR="00BD3BED" w:rsidRPr="00BD3BED" w:rsidRDefault="00BD3BED" w:rsidP="00B45E1D">
            <w:pPr>
              <w:pStyle w:val="Default"/>
              <w:rPr>
                <w:rFonts w:ascii="Arial" w:hAnsi="Arial" w:cs="Arial"/>
                <w:iCs/>
                <w:sz w:val="22"/>
                <w:szCs w:val="22"/>
              </w:rPr>
            </w:pPr>
            <w:r w:rsidRPr="00BD3BED">
              <w:rPr>
                <w:rFonts w:ascii="Arial" w:hAnsi="Arial" w:cs="Arial"/>
                <w:iCs/>
                <w:sz w:val="22"/>
                <w:szCs w:val="22"/>
              </w:rPr>
              <w:t>Supplerende materiale:</w:t>
            </w:r>
          </w:p>
          <w:p w14:paraId="209FC1C2" w14:textId="77777777" w:rsidR="00BD3BED" w:rsidRPr="00C774D3" w:rsidRDefault="00B65AFA" w:rsidP="00B45E1D">
            <w:pPr>
              <w:jc w:val="left"/>
              <w:rPr>
                <w:rFonts w:ascii="Calibri" w:hAnsi="Calibri" w:cs="Calibri"/>
                <w:color w:val="auto"/>
              </w:rPr>
            </w:pPr>
            <w:hyperlink r:id="rId11" w:history="1">
              <w:r w:rsidR="00BD3BED">
                <w:rPr>
                  <w:rStyle w:val="Hyperlink"/>
                  <w:rFonts w:eastAsiaTheme="majorEastAsia"/>
                </w:rPr>
                <w:t>https://stps.dk/da/ansvar-og-retningslinjer/patienters-retsstilling/informeret-samtykke/varigt-inhabile-patienter/somatisk-tvang/</w:t>
              </w:r>
            </w:hyperlink>
          </w:p>
          <w:p w14:paraId="2BD8EEA5" w14:textId="77777777" w:rsidR="00BD3BED" w:rsidRPr="00473C7B" w:rsidRDefault="00BD3BED" w:rsidP="00B45E1D">
            <w:pPr>
              <w:jc w:val="left"/>
              <w:rPr>
                <w:rFonts w:eastAsia="Arial"/>
              </w:rPr>
            </w:pPr>
          </w:p>
        </w:tc>
      </w:tr>
      <w:tr w:rsidR="00BD3BED" w:rsidRPr="00063F99" w14:paraId="3DB3ED7B" w14:textId="77777777" w:rsidTr="00B45E1D">
        <w:trPr>
          <w:trHeight w:val="1198"/>
        </w:trPr>
        <w:tc>
          <w:tcPr>
            <w:tcW w:w="3259" w:type="dxa"/>
            <w:tcBorders>
              <w:top w:val="single" w:sz="6" w:space="0" w:color="000000"/>
              <w:left w:val="single" w:sz="6" w:space="0" w:color="000000"/>
              <w:bottom w:val="single" w:sz="6" w:space="0" w:color="000000"/>
              <w:right w:val="single" w:sz="6" w:space="0" w:color="000000"/>
            </w:tcBorders>
            <w:shd w:val="clear" w:color="auto" w:fill="EAF1DD"/>
          </w:tcPr>
          <w:p w14:paraId="2DA16966" w14:textId="77777777" w:rsidR="00BD3BED" w:rsidRPr="002A5830" w:rsidRDefault="00BD3BED" w:rsidP="00B45E1D">
            <w:pPr>
              <w:jc w:val="left"/>
              <w:rPr>
                <w:rFonts w:eastAsia="Arial"/>
                <w:b/>
                <w:bCs/>
              </w:rPr>
            </w:pPr>
            <w:r w:rsidRPr="002A5830">
              <w:rPr>
                <w:rFonts w:eastAsia="Arial"/>
                <w:b/>
                <w:bCs/>
              </w:rPr>
              <w:t>Udarbejdet den:</w:t>
            </w:r>
          </w:p>
          <w:p w14:paraId="24552A00" w14:textId="77777777" w:rsidR="00BD3BED" w:rsidRPr="002A5830" w:rsidRDefault="00BD3BED" w:rsidP="00B45E1D">
            <w:pPr>
              <w:jc w:val="left"/>
              <w:rPr>
                <w:rFonts w:eastAsia="Arial"/>
                <w:b/>
                <w:bCs/>
              </w:rPr>
            </w:pPr>
          </w:p>
          <w:p w14:paraId="72390176" w14:textId="77777777" w:rsidR="00BD3BED" w:rsidRPr="002A5830" w:rsidRDefault="00BD3BED" w:rsidP="00B45E1D">
            <w:pPr>
              <w:jc w:val="left"/>
              <w:rPr>
                <w:rFonts w:eastAsia="Arial"/>
                <w:b/>
                <w:bCs/>
              </w:rPr>
            </w:pPr>
            <w:r w:rsidRPr="002A5830">
              <w:rPr>
                <w:rFonts w:eastAsia="Arial"/>
                <w:b/>
                <w:bCs/>
              </w:rPr>
              <w:t>Udarbejdet af:</w:t>
            </w:r>
          </w:p>
          <w:p w14:paraId="0FFA064E" w14:textId="77777777" w:rsidR="00BD3BED" w:rsidRPr="002A5830" w:rsidRDefault="00BD3BED" w:rsidP="00B45E1D">
            <w:pPr>
              <w:jc w:val="left"/>
              <w:rPr>
                <w:rFonts w:eastAsia="Arial"/>
                <w:b/>
                <w:bCs/>
              </w:rPr>
            </w:pPr>
          </w:p>
          <w:p w14:paraId="05D08A53" w14:textId="77777777" w:rsidR="00BD3BED" w:rsidRPr="002A5830" w:rsidRDefault="00BD3BED" w:rsidP="00B45E1D">
            <w:pPr>
              <w:jc w:val="left"/>
              <w:rPr>
                <w:rFonts w:eastAsia="Arial"/>
                <w:b/>
                <w:bCs/>
              </w:rPr>
            </w:pPr>
          </w:p>
          <w:p w14:paraId="2C57372B" w14:textId="77777777" w:rsidR="00BD3BED" w:rsidRPr="002A5830" w:rsidRDefault="00BD3BED" w:rsidP="00B45E1D">
            <w:pPr>
              <w:jc w:val="left"/>
              <w:rPr>
                <w:rFonts w:eastAsia="Arial"/>
                <w:b/>
                <w:bCs/>
              </w:rPr>
            </w:pPr>
            <w:r w:rsidRPr="002A5830">
              <w:rPr>
                <w:rFonts w:eastAsia="Arial"/>
                <w:b/>
                <w:bCs/>
              </w:rPr>
              <w:t>Sidst revideret:</w:t>
            </w:r>
          </w:p>
          <w:p w14:paraId="28EC3C1F" w14:textId="77777777" w:rsidR="00BD3BED" w:rsidRPr="002A5830" w:rsidRDefault="00BD3BED" w:rsidP="00B45E1D">
            <w:pPr>
              <w:jc w:val="left"/>
              <w:rPr>
                <w:rFonts w:eastAsia="Arial"/>
                <w:b/>
                <w:bCs/>
              </w:rPr>
            </w:pPr>
          </w:p>
          <w:p w14:paraId="09CB4064" w14:textId="77777777" w:rsidR="00BD3BED" w:rsidRPr="002A5830" w:rsidRDefault="00BD3BED" w:rsidP="00B45E1D">
            <w:pPr>
              <w:jc w:val="left"/>
              <w:rPr>
                <w:rFonts w:eastAsia="Arial"/>
                <w:b/>
                <w:bCs/>
              </w:rPr>
            </w:pPr>
            <w:r w:rsidRPr="002A5830">
              <w:rPr>
                <w:rFonts w:eastAsia="Arial"/>
                <w:b/>
                <w:bCs/>
              </w:rPr>
              <w:t>Revideres inden:</w:t>
            </w:r>
          </w:p>
          <w:p w14:paraId="5571E89C" w14:textId="77777777" w:rsidR="00BD3BED" w:rsidRPr="002A5830" w:rsidRDefault="00BD3BED" w:rsidP="00B45E1D">
            <w:pPr>
              <w:jc w:val="left"/>
              <w:rPr>
                <w:rFonts w:eastAsia="Arial"/>
                <w:b/>
                <w:bCs/>
              </w:rPr>
            </w:pPr>
          </w:p>
          <w:p w14:paraId="0DF58FED" w14:textId="77777777" w:rsidR="00BD3BED" w:rsidRPr="002A5830" w:rsidRDefault="00BD3BED" w:rsidP="00B45E1D">
            <w:pPr>
              <w:jc w:val="left"/>
              <w:rPr>
                <w:rFonts w:eastAsia="Arial"/>
                <w:b/>
                <w:bCs/>
              </w:rPr>
            </w:pPr>
            <w:r w:rsidRPr="002A5830">
              <w:rPr>
                <w:rFonts w:eastAsia="Arial"/>
                <w:b/>
                <w:bCs/>
              </w:rPr>
              <w:t>Godkendt af:</w:t>
            </w:r>
          </w:p>
        </w:tc>
        <w:tc>
          <w:tcPr>
            <w:tcW w:w="7439" w:type="dxa"/>
            <w:tcBorders>
              <w:top w:val="single" w:sz="6" w:space="0" w:color="000000"/>
              <w:left w:val="single" w:sz="6" w:space="0" w:color="000000"/>
              <w:bottom w:val="single" w:sz="6" w:space="0" w:color="000000"/>
              <w:right w:val="single" w:sz="6" w:space="0" w:color="000000"/>
            </w:tcBorders>
            <w:shd w:val="clear" w:color="auto" w:fill="auto"/>
          </w:tcPr>
          <w:p w14:paraId="209F361D" w14:textId="77777777" w:rsidR="00BD3BED" w:rsidRDefault="00BD3BED" w:rsidP="00B45E1D">
            <w:pPr>
              <w:jc w:val="left"/>
              <w:rPr>
                <w:rFonts w:eastAsia="Arial"/>
              </w:rPr>
            </w:pPr>
            <w:r>
              <w:rPr>
                <w:rFonts w:eastAsia="Arial"/>
              </w:rPr>
              <w:t>September 2021</w:t>
            </w:r>
          </w:p>
          <w:p w14:paraId="16EBC729" w14:textId="77777777" w:rsidR="00BD3BED" w:rsidRDefault="00BD3BED" w:rsidP="00B45E1D">
            <w:pPr>
              <w:jc w:val="left"/>
              <w:rPr>
                <w:rFonts w:eastAsia="Arial"/>
              </w:rPr>
            </w:pPr>
          </w:p>
          <w:p w14:paraId="6E443474" w14:textId="77777777" w:rsidR="00BD3BED" w:rsidRPr="00FF0EB0" w:rsidRDefault="00BD3BED" w:rsidP="00B45E1D">
            <w:pPr>
              <w:jc w:val="left"/>
              <w:rPr>
                <w:rFonts w:eastAsia="Arial"/>
              </w:rPr>
            </w:pPr>
            <w:r>
              <w:rPr>
                <w:rFonts w:eastAsia="Arial"/>
              </w:rPr>
              <w:t xml:space="preserve">Grete Ølgaard Sygeplejerske, Anne Skov kvalitetssygeplejerske og Ghita </w:t>
            </w:r>
            <w:r w:rsidRPr="00FF0EB0">
              <w:rPr>
                <w:rFonts w:eastAsia="Arial"/>
              </w:rPr>
              <w:t xml:space="preserve">Steenholt, </w:t>
            </w:r>
            <w:r>
              <w:rPr>
                <w:rFonts w:eastAsia="Arial"/>
              </w:rPr>
              <w:t>Cand. Cur.</w:t>
            </w:r>
          </w:p>
          <w:p w14:paraId="499D27B2" w14:textId="77777777" w:rsidR="00BD3BED" w:rsidRDefault="00BD3BED" w:rsidP="00B45E1D">
            <w:pPr>
              <w:jc w:val="left"/>
              <w:rPr>
                <w:rFonts w:eastAsia="Arial"/>
              </w:rPr>
            </w:pPr>
          </w:p>
          <w:p w14:paraId="2D08C4B0" w14:textId="77777777" w:rsidR="00BD3BED" w:rsidRDefault="00BD3BED" w:rsidP="00B45E1D">
            <w:pPr>
              <w:jc w:val="left"/>
              <w:rPr>
                <w:rFonts w:eastAsia="Arial"/>
              </w:rPr>
            </w:pPr>
            <w:r>
              <w:rPr>
                <w:rFonts w:eastAsia="Arial"/>
              </w:rPr>
              <w:t>Marts 2023</w:t>
            </w:r>
          </w:p>
          <w:p w14:paraId="446E526E" w14:textId="77777777" w:rsidR="00BD3BED" w:rsidRDefault="00BD3BED" w:rsidP="00B45E1D">
            <w:pPr>
              <w:jc w:val="left"/>
              <w:rPr>
                <w:rFonts w:eastAsia="Arial"/>
              </w:rPr>
            </w:pPr>
          </w:p>
          <w:p w14:paraId="575D0C2B" w14:textId="77777777" w:rsidR="00BD3BED" w:rsidRDefault="00BD3BED" w:rsidP="00B45E1D">
            <w:pPr>
              <w:jc w:val="left"/>
              <w:rPr>
                <w:rFonts w:eastAsia="Arial"/>
              </w:rPr>
            </w:pPr>
            <w:r w:rsidRPr="00FF0EB0">
              <w:rPr>
                <w:rFonts w:eastAsia="Arial"/>
              </w:rPr>
              <w:t xml:space="preserve">Revideres efter behov og senest </w:t>
            </w:r>
            <w:r>
              <w:rPr>
                <w:rFonts w:eastAsia="Arial"/>
              </w:rPr>
              <w:t>april</w:t>
            </w:r>
            <w:r w:rsidRPr="00FF0EB0">
              <w:rPr>
                <w:rFonts w:eastAsia="Arial"/>
              </w:rPr>
              <w:t xml:space="preserve"> 20</w:t>
            </w:r>
            <w:r>
              <w:rPr>
                <w:rFonts w:eastAsia="Arial"/>
              </w:rPr>
              <w:t>25.</w:t>
            </w:r>
          </w:p>
          <w:p w14:paraId="27A8AF08" w14:textId="77777777" w:rsidR="00BD3BED" w:rsidRDefault="00BD3BED" w:rsidP="00B45E1D">
            <w:pPr>
              <w:jc w:val="left"/>
              <w:rPr>
                <w:rFonts w:eastAsia="Arial"/>
              </w:rPr>
            </w:pPr>
          </w:p>
          <w:p w14:paraId="0D4F7E7B" w14:textId="77777777" w:rsidR="00BD3BED" w:rsidRPr="00063F99" w:rsidRDefault="00BD3BED" w:rsidP="00B45E1D">
            <w:pPr>
              <w:jc w:val="left"/>
              <w:rPr>
                <w:rFonts w:eastAsia="Arial"/>
              </w:rPr>
            </w:pPr>
            <w:r w:rsidRPr="001149E4">
              <w:rPr>
                <w:rFonts w:eastAsia="Arial"/>
              </w:rPr>
              <w:t xml:space="preserve">Centerledergruppen og </w:t>
            </w:r>
            <w:r>
              <w:rPr>
                <w:rFonts w:eastAsia="Arial"/>
              </w:rPr>
              <w:t>S</w:t>
            </w:r>
            <w:r w:rsidRPr="001149E4">
              <w:rPr>
                <w:rFonts w:eastAsia="Arial"/>
              </w:rPr>
              <w:t>ocialchefen</w:t>
            </w:r>
          </w:p>
        </w:tc>
      </w:tr>
    </w:tbl>
    <w:p w14:paraId="0EBB2633" w14:textId="703609EC" w:rsidR="00BD3BED" w:rsidRDefault="00BD3BED" w:rsidP="00264AD9"/>
    <w:bookmarkEnd w:id="0"/>
    <w:bookmarkEnd w:id="1"/>
    <w:sectPr w:rsidR="00BD3BED" w:rsidSect="006F51D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B9D3" w14:textId="77777777" w:rsidR="004B7968" w:rsidRDefault="004B7968" w:rsidP="00DE6932">
      <w:r>
        <w:separator/>
      </w:r>
    </w:p>
  </w:endnote>
  <w:endnote w:type="continuationSeparator" w:id="0">
    <w:p w14:paraId="209F5EED" w14:textId="77777777" w:rsidR="004B7968" w:rsidRDefault="004B7968" w:rsidP="00DE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0191" w14:textId="77777777" w:rsidR="00264AD9" w:rsidRDefault="00264AD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84F1" w14:textId="77777777" w:rsidR="00264AD9" w:rsidRDefault="00264AD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B5C5" w14:textId="77777777" w:rsidR="00264AD9" w:rsidRDefault="00264A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9BC8" w14:textId="77777777" w:rsidR="004B7968" w:rsidRDefault="004B7968" w:rsidP="00DE6932">
      <w:r>
        <w:separator/>
      </w:r>
    </w:p>
  </w:footnote>
  <w:footnote w:type="continuationSeparator" w:id="0">
    <w:p w14:paraId="46366C05" w14:textId="77777777" w:rsidR="004B7968" w:rsidRDefault="004B7968" w:rsidP="00DE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2941" w14:textId="77777777" w:rsidR="00264AD9" w:rsidRDefault="00264AD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D5F5" w14:textId="77777777" w:rsidR="00264AD9" w:rsidRDefault="00264AD9" w:rsidP="00264AD9">
    <w:pPr>
      <w:pStyle w:val="Sidehoved"/>
    </w:pPr>
    <w:bookmarkStart w:id="3" w:name="_Hlk134434705"/>
    <w:r w:rsidRPr="002614B0">
      <w:rPr>
        <w:noProof/>
      </w:rPr>
      <w:drawing>
        <wp:inline distT="0" distB="0" distL="0" distR="0" wp14:anchorId="29CCF3F1" wp14:editId="36B73985">
          <wp:extent cx="1647825" cy="145786"/>
          <wp:effectExtent l="0" t="0" r="0" b="698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9217" cy="153872"/>
                  </a:xfrm>
                  <a:prstGeom prst="rect">
                    <a:avLst/>
                  </a:prstGeom>
                  <a:noFill/>
                  <a:ln>
                    <a:noFill/>
                  </a:ln>
                </pic:spPr>
              </pic:pic>
            </a:graphicData>
          </a:graphic>
        </wp:inline>
      </w:drawing>
    </w:r>
    <w:r>
      <w:tab/>
    </w:r>
    <w:r>
      <w:tab/>
      <w:t xml:space="preserve">   </w:t>
    </w:r>
    <w:r w:rsidRPr="000F602F">
      <w:rPr>
        <w:noProof/>
      </w:rPr>
      <w:drawing>
        <wp:inline distT="0" distB="0" distL="0" distR="0" wp14:anchorId="2E267C68" wp14:editId="157F7A80">
          <wp:extent cx="598023" cy="713967"/>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8028" cy="725912"/>
                  </a:xfrm>
                  <a:prstGeom prst="rect">
                    <a:avLst/>
                  </a:prstGeom>
                  <a:noFill/>
                  <a:ln>
                    <a:noFill/>
                  </a:ln>
                </pic:spPr>
              </pic:pic>
            </a:graphicData>
          </a:graphic>
        </wp:inline>
      </w:drawing>
    </w:r>
  </w:p>
  <w:bookmarkEnd w:id="3"/>
  <w:p w14:paraId="2178CBA9" w14:textId="77777777" w:rsidR="00264AD9" w:rsidRDefault="00264AD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25F7" w14:textId="77777777" w:rsidR="00264AD9" w:rsidRDefault="00264AD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A85"/>
    <w:multiLevelType w:val="multilevel"/>
    <w:tmpl w:val="7602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95910"/>
    <w:multiLevelType w:val="hybridMultilevel"/>
    <w:tmpl w:val="E11EB7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C4679EE"/>
    <w:multiLevelType w:val="multilevel"/>
    <w:tmpl w:val="CE14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53DA2"/>
    <w:multiLevelType w:val="hybridMultilevel"/>
    <w:tmpl w:val="450646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4E424B6"/>
    <w:multiLevelType w:val="hybridMultilevel"/>
    <w:tmpl w:val="427E565E"/>
    <w:lvl w:ilvl="0" w:tplc="377E310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E950FE"/>
    <w:multiLevelType w:val="hybridMultilevel"/>
    <w:tmpl w:val="D58CED88"/>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77E3104">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188264F1"/>
    <w:multiLevelType w:val="hybridMultilevel"/>
    <w:tmpl w:val="9600F3D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1C716A"/>
    <w:multiLevelType w:val="multilevel"/>
    <w:tmpl w:val="8062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C3321"/>
    <w:multiLevelType w:val="hybridMultilevel"/>
    <w:tmpl w:val="545CE3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AB36C93"/>
    <w:multiLevelType w:val="hybridMultilevel"/>
    <w:tmpl w:val="3CC6E9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B1660A"/>
    <w:multiLevelType w:val="hybridMultilevel"/>
    <w:tmpl w:val="D884C53C"/>
    <w:lvl w:ilvl="0" w:tplc="04060001">
      <w:start w:val="1"/>
      <w:numFmt w:val="bullet"/>
      <w:lvlText w:val=""/>
      <w:lvlJc w:val="left"/>
      <w:pPr>
        <w:ind w:left="360" w:hanging="360"/>
      </w:pPr>
      <w:rPr>
        <w:rFonts w:ascii="Symbol" w:hAnsi="Symbol" w:hint="default"/>
      </w:rPr>
    </w:lvl>
    <w:lvl w:ilvl="1"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3D9706C"/>
    <w:multiLevelType w:val="hybridMultilevel"/>
    <w:tmpl w:val="76C27D04"/>
    <w:lvl w:ilvl="0" w:tplc="377E3104">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700A7C"/>
    <w:multiLevelType w:val="hybridMultilevel"/>
    <w:tmpl w:val="2F346E8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73D197E"/>
    <w:multiLevelType w:val="hybridMultilevel"/>
    <w:tmpl w:val="563800F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FA31DF"/>
    <w:multiLevelType w:val="hybridMultilevel"/>
    <w:tmpl w:val="CAC46C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9096983"/>
    <w:multiLevelType w:val="hybridMultilevel"/>
    <w:tmpl w:val="3AD8C6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295D05E0"/>
    <w:multiLevelType w:val="hybridMultilevel"/>
    <w:tmpl w:val="413647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9666D08"/>
    <w:multiLevelType w:val="hybridMultilevel"/>
    <w:tmpl w:val="28D4AC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2B4E79E1"/>
    <w:multiLevelType w:val="hybridMultilevel"/>
    <w:tmpl w:val="E0ACE226"/>
    <w:lvl w:ilvl="0" w:tplc="80A0083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8F1E0">
      <w:start w:val="1"/>
      <w:numFmt w:val="bullet"/>
      <w:lvlText w:val="o"/>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2855E">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407F14">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268C2">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5C2B7A">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CA3F4C">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2A9BE">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6A8314">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0A53B0"/>
    <w:multiLevelType w:val="hybridMultilevel"/>
    <w:tmpl w:val="8F505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0450575"/>
    <w:multiLevelType w:val="hybridMultilevel"/>
    <w:tmpl w:val="35C2A6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5D27703"/>
    <w:multiLevelType w:val="hybridMultilevel"/>
    <w:tmpl w:val="5FF4B1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6C1539E"/>
    <w:multiLevelType w:val="hybridMultilevel"/>
    <w:tmpl w:val="33187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D561C0"/>
    <w:multiLevelType w:val="hybridMultilevel"/>
    <w:tmpl w:val="96BEA3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3FEF6E2E"/>
    <w:multiLevelType w:val="hybridMultilevel"/>
    <w:tmpl w:val="3D00AE0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05E067E"/>
    <w:multiLevelType w:val="hybridMultilevel"/>
    <w:tmpl w:val="824AD07C"/>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6" w15:restartNumberingAfterBreak="0">
    <w:nsid w:val="4A805748"/>
    <w:multiLevelType w:val="hybridMultilevel"/>
    <w:tmpl w:val="44782D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AB79EE"/>
    <w:multiLevelType w:val="hybridMultilevel"/>
    <w:tmpl w:val="D36ED32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412787E"/>
    <w:multiLevelType w:val="hybridMultilevel"/>
    <w:tmpl w:val="50F0701E"/>
    <w:lvl w:ilvl="0" w:tplc="0406000D">
      <w:start w:val="1"/>
      <w:numFmt w:val="bullet"/>
      <w:lvlText w:val=""/>
      <w:lvlJc w:val="left"/>
      <w:pPr>
        <w:ind w:left="72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554BAE"/>
    <w:multiLevelType w:val="hybridMultilevel"/>
    <w:tmpl w:val="54747656"/>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80876A5"/>
    <w:multiLevelType w:val="hybridMultilevel"/>
    <w:tmpl w:val="CA3873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C112FA9"/>
    <w:multiLevelType w:val="hybridMultilevel"/>
    <w:tmpl w:val="20F850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5CFC09BB"/>
    <w:multiLevelType w:val="hybridMultilevel"/>
    <w:tmpl w:val="E086269C"/>
    <w:lvl w:ilvl="0" w:tplc="377E3104">
      <w:start w:val="1"/>
      <w:numFmt w:val="bullet"/>
      <w:lvlText w:val="-"/>
      <w:lvlJc w:val="left"/>
      <w:pPr>
        <w:ind w:left="108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66440A1D"/>
    <w:multiLevelType w:val="hybridMultilevel"/>
    <w:tmpl w:val="E7F41C40"/>
    <w:lvl w:ilvl="0" w:tplc="622487BE">
      <w:numFmt w:val="bullet"/>
      <w:lvlText w:val=""/>
      <w:lvlJc w:val="left"/>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E03E10"/>
    <w:multiLevelType w:val="hybridMultilevel"/>
    <w:tmpl w:val="52F055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C036D50"/>
    <w:multiLevelType w:val="hybridMultilevel"/>
    <w:tmpl w:val="EEE433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6CD91788"/>
    <w:multiLevelType w:val="hybridMultilevel"/>
    <w:tmpl w:val="E4D45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933A84"/>
    <w:multiLevelType w:val="hybridMultilevel"/>
    <w:tmpl w:val="1CEE22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0EE227D"/>
    <w:multiLevelType w:val="hybridMultilevel"/>
    <w:tmpl w:val="7D849A98"/>
    <w:lvl w:ilvl="0" w:tplc="522CE4A4">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E0E3CAD"/>
    <w:multiLevelType w:val="hybridMultilevel"/>
    <w:tmpl w:val="F8EE70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211619138">
    <w:abstractNumId w:val="8"/>
  </w:num>
  <w:num w:numId="2" w16cid:durableId="1645038708">
    <w:abstractNumId w:val="16"/>
  </w:num>
  <w:num w:numId="3" w16cid:durableId="1278486327">
    <w:abstractNumId w:val="39"/>
  </w:num>
  <w:num w:numId="4" w16cid:durableId="413863793">
    <w:abstractNumId w:val="20"/>
  </w:num>
  <w:num w:numId="5" w16cid:durableId="615914891">
    <w:abstractNumId w:val="1"/>
  </w:num>
  <w:num w:numId="6" w16cid:durableId="569195845">
    <w:abstractNumId w:val="12"/>
  </w:num>
  <w:num w:numId="7" w16cid:durableId="1278179685">
    <w:abstractNumId w:val="11"/>
  </w:num>
  <w:num w:numId="8" w16cid:durableId="1671172521">
    <w:abstractNumId w:val="35"/>
  </w:num>
  <w:num w:numId="9" w16cid:durableId="553852296">
    <w:abstractNumId w:val="10"/>
  </w:num>
  <w:num w:numId="10" w16cid:durableId="649557838">
    <w:abstractNumId w:val="34"/>
  </w:num>
  <w:num w:numId="11" w16cid:durableId="972174360">
    <w:abstractNumId w:val="19"/>
  </w:num>
  <w:num w:numId="12" w16cid:durableId="965545792">
    <w:abstractNumId w:val="5"/>
  </w:num>
  <w:num w:numId="13" w16cid:durableId="935752110">
    <w:abstractNumId w:val="25"/>
  </w:num>
  <w:num w:numId="14" w16cid:durableId="2030252388">
    <w:abstractNumId w:val="37"/>
  </w:num>
  <w:num w:numId="15" w16cid:durableId="259684477">
    <w:abstractNumId w:val="29"/>
  </w:num>
  <w:num w:numId="16" w16cid:durableId="781418291">
    <w:abstractNumId w:val="32"/>
  </w:num>
  <w:num w:numId="17" w16cid:durableId="380790554">
    <w:abstractNumId w:val="30"/>
  </w:num>
  <w:num w:numId="18" w16cid:durableId="464395869">
    <w:abstractNumId w:val="14"/>
  </w:num>
  <w:num w:numId="19" w16cid:durableId="451097478">
    <w:abstractNumId w:val="4"/>
  </w:num>
  <w:num w:numId="20" w16cid:durableId="1316030372">
    <w:abstractNumId w:val="27"/>
  </w:num>
  <w:num w:numId="21" w16cid:durableId="73744377">
    <w:abstractNumId w:val="18"/>
  </w:num>
  <w:num w:numId="22" w16cid:durableId="1677267903">
    <w:abstractNumId w:val="28"/>
  </w:num>
  <w:num w:numId="23" w16cid:durableId="796488674">
    <w:abstractNumId w:val="26"/>
  </w:num>
  <w:num w:numId="24" w16cid:durableId="1949385916">
    <w:abstractNumId w:val="13"/>
  </w:num>
  <w:num w:numId="25" w16cid:durableId="831027653">
    <w:abstractNumId w:val="21"/>
  </w:num>
  <w:num w:numId="26" w16cid:durableId="1429765576">
    <w:abstractNumId w:val="22"/>
  </w:num>
  <w:num w:numId="27" w16cid:durableId="690843816">
    <w:abstractNumId w:val="15"/>
  </w:num>
  <w:num w:numId="28" w16cid:durableId="801264095">
    <w:abstractNumId w:val="17"/>
  </w:num>
  <w:num w:numId="29" w16cid:durableId="327943632">
    <w:abstractNumId w:val="38"/>
  </w:num>
  <w:num w:numId="30" w16cid:durableId="1763643774">
    <w:abstractNumId w:val="33"/>
  </w:num>
  <w:num w:numId="31" w16cid:durableId="1052382553">
    <w:abstractNumId w:val="0"/>
  </w:num>
  <w:num w:numId="32" w16cid:durableId="874343982">
    <w:abstractNumId w:val="2"/>
  </w:num>
  <w:num w:numId="33" w16cid:durableId="714231690">
    <w:abstractNumId w:val="7"/>
  </w:num>
  <w:num w:numId="34" w16cid:durableId="1061172923">
    <w:abstractNumId w:val="24"/>
  </w:num>
  <w:num w:numId="35" w16cid:durableId="1365784908">
    <w:abstractNumId w:val="23"/>
  </w:num>
  <w:num w:numId="36" w16cid:durableId="1644264007">
    <w:abstractNumId w:val="3"/>
  </w:num>
  <w:num w:numId="37" w16cid:durableId="1177647301">
    <w:abstractNumId w:val="31"/>
  </w:num>
  <w:num w:numId="38" w16cid:durableId="2072341379">
    <w:abstractNumId w:val="9"/>
  </w:num>
  <w:num w:numId="39" w16cid:durableId="1632056903">
    <w:abstractNumId w:val="36"/>
  </w:num>
  <w:num w:numId="40" w16cid:durableId="198596879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2"/>
    <w:rsid w:val="00000197"/>
    <w:rsid w:val="00026A2F"/>
    <w:rsid w:val="00054019"/>
    <w:rsid w:val="000709EE"/>
    <w:rsid w:val="000936E1"/>
    <w:rsid w:val="000D2EDD"/>
    <w:rsid w:val="000E4372"/>
    <w:rsid w:val="000F1719"/>
    <w:rsid w:val="0017025C"/>
    <w:rsid w:val="001C3517"/>
    <w:rsid w:val="001D25A8"/>
    <w:rsid w:val="00220F62"/>
    <w:rsid w:val="00231828"/>
    <w:rsid w:val="00243D7F"/>
    <w:rsid w:val="002514C0"/>
    <w:rsid w:val="002614B0"/>
    <w:rsid w:val="00264AD9"/>
    <w:rsid w:val="00276922"/>
    <w:rsid w:val="00276DE1"/>
    <w:rsid w:val="002D4B0A"/>
    <w:rsid w:val="002E78DD"/>
    <w:rsid w:val="002F0D0E"/>
    <w:rsid w:val="0033655E"/>
    <w:rsid w:val="00345C1F"/>
    <w:rsid w:val="003A392B"/>
    <w:rsid w:val="003B0C7B"/>
    <w:rsid w:val="003B62D8"/>
    <w:rsid w:val="003E0EF6"/>
    <w:rsid w:val="003E49D9"/>
    <w:rsid w:val="003F15B5"/>
    <w:rsid w:val="00432D40"/>
    <w:rsid w:val="00455117"/>
    <w:rsid w:val="00492EA2"/>
    <w:rsid w:val="004B7968"/>
    <w:rsid w:val="004E20F1"/>
    <w:rsid w:val="005134C4"/>
    <w:rsid w:val="00525822"/>
    <w:rsid w:val="00543D6F"/>
    <w:rsid w:val="00544B2B"/>
    <w:rsid w:val="00561775"/>
    <w:rsid w:val="005914A8"/>
    <w:rsid w:val="00597CC9"/>
    <w:rsid w:val="005C4D25"/>
    <w:rsid w:val="005C4EC2"/>
    <w:rsid w:val="005C5B17"/>
    <w:rsid w:val="005E7C80"/>
    <w:rsid w:val="00603994"/>
    <w:rsid w:val="00610B7C"/>
    <w:rsid w:val="00622E44"/>
    <w:rsid w:val="006378A5"/>
    <w:rsid w:val="00666F95"/>
    <w:rsid w:val="00667645"/>
    <w:rsid w:val="006A4619"/>
    <w:rsid w:val="006F51DD"/>
    <w:rsid w:val="006F5B38"/>
    <w:rsid w:val="00701696"/>
    <w:rsid w:val="00773E87"/>
    <w:rsid w:val="00787009"/>
    <w:rsid w:val="007B617D"/>
    <w:rsid w:val="007C4F2F"/>
    <w:rsid w:val="007F1645"/>
    <w:rsid w:val="00802086"/>
    <w:rsid w:val="00871EF7"/>
    <w:rsid w:val="008731AA"/>
    <w:rsid w:val="00884868"/>
    <w:rsid w:val="008A67DE"/>
    <w:rsid w:val="008E5007"/>
    <w:rsid w:val="009016E6"/>
    <w:rsid w:val="00910A72"/>
    <w:rsid w:val="00914DB1"/>
    <w:rsid w:val="00930803"/>
    <w:rsid w:val="009734C4"/>
    <w:rsid w:val="00975907"/>
    <w:rsid w:val="009B24FF"/>
    <w:rsid w:val="009C19D6"/>
    <w:rsid w:val="00A12D5B"/>
    <w:rsid w:val="00A17E01"/>
    <w:rsid w:val="00A26A87"/>
    <w:rsid w:val="00A86CA0"/>
    <w:rsid w:val="00A9527D"/>
    <w:rsid w:val="00A96958"/>
    <w:rsid w:val="00AC0E67"/>
    <w:rsid w:val="00B065E4"/>
    <w:rsid w:val="00B2455F"/>
    <w:rsid w:val="00B257DC"/>
    <w:rsid w:val="00B36E63"/>
    <w:rsid w:val="00B40E3E"/>
    <w:rsid w:val="00B6387C"/>
    <w:rsid w:val="00B65AFA"/>
    <w:rsid w:val="00BD3BED"/>
    <w:rsid w:val="00C06EA8"/>
    <w:rsid w:val="00C15955"/>
    <w:rsid w:val="00C20C48"/>
    <w:rsid w:val="00C95685"/>
    <w:rsid w:val="00CF3959"/>
    <w:rsid w:val="00D35B1D"/>
    <w:rsid w:val="00D5554B"/>
    <w:rsid w:val="00D8092E"/>
    <w:rsid w:val="00DA043B"/>
    <w:rsid w:val="00DD0799"/>
    <w:rsid w:val="00DE02E4"/>
    <w:rsid w:val="00DE6932"/>
    <w:rsid w:val="00DF25A6"/>
    <w:rsid w:val="00E10A47"/>
    <w:rsid w:val="00E23047"/>
    <w:rsid w:val="00E9551B"/>
    <w:rsid w:val="00E96DE6"/>
    <w:rsid w:val="00EA4F7F"/>
    <w:rsid w:val="00ED1CF5"/>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2"/>
    <w:pPr>
      <w:spacing w:after="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Fodnotetekst">
    <w:name w:val="footnote text"/>
    <w:basedOn w:val="Normal"/>
    <w:link w:val="FodnotetekstTegn"/>
    <w:uiPriority w:val="99"/>
    <w:rsid w:val="00DE6932"/>
    <w:rPr>
      <w:rFonts w:ascii="Calibri" w:hAnsi="Calibri" w:cs="Tahoma"/>
      <w:sz w:val="20"/>
      <w:szCs w:val="20"/>
      <w:lang w:eastAsia="zh-CN"/>
    </w:rPr>
  </w:style>
  <w:style w:type="character" w:customStyle="1" w:styleId="FodnotetekstTegn">
    <w:name w:val="Fodnotetekst Tegn"/>
    <w:basedOn w:val="Standardskrifttypeiafsnit"/>
    <w:link w:val="Fodnotetekst"/>
    <w:uiPriority w:val="99"/>
    <w:rsid w:val="00DE6932"/>
    <w:rPr>
      <w:rFonts w:eastAsia="Times New Roman" w:cs="Tahoma"/>
      <w:color w:val="000000"/>
      <w:sz w:val="20"/>
      <w:szCs w:val="20"/>
      <w:lang w:eastAsia="zh-CN"/>
    </w:rPr>
  </w:style>
  <w:style w:type="character" w:styleId="Fodnotehenvisning">
    <w:name w:val="footnote reference"/>
    <w:uiPriority w:val="99"/>
    <w:rsid w:val="00DE6932"/>
    <w:rPr>
      <w:vertAlign w:val="superscript"/>
    </w:rPr>
  </w:style>
  <w:style w:type="paragraph" w:styleId="Sidehoved">
    <w:name w:val="header"/>
    <w:basedOn w:val="Normal"/>
    <w:link w:val="SidehovedTegn"/>
    <w:uiPriority w:val="99"/>
    <w:unhideWhenUsed/>
    <w:rsid w:val="00264AD9"/>
    <w:pPr>
      <w:tabs>
        <w:tab w:val="center" w:pos="4819"/>
        <w:tab w:val="right" w:pos="9638"/>
      </w:tabs>
    </w:pPr>
  </w:style>
  <w:style w:type="character" w:customStyle="1" w:styleId="SidehovedTegn">
    <w:name w:val="Sidehoved Tegn"/>
    <w:basedOn w:val="Standardskrifttypeiafsnit"/>
    <w:link w:val="Sidehoved"/>
    <w:uiPriority w:val="99"/>
    <w:rsid w:val="00264AD9"/>
    <w:rPr>
      <w:rFonts w:ascii="Arial" w:eastAsia="Times New Roman" w:hAnsi="Arial" w:cs="Arial"/>
      <w:color w:val="000000"/>
      <w:lang w:eastAsia="da-DK"/>
    </w:rPr>
  </w:style>
  <w:style w:type="paragraph" w:styleId="Sidefod">
    <w:name w:val="footer"/>
    <w:basedOn w:val="Normal"/>
    <w:link w:val="SidefodTegn"/>
    <w:uiPriority w:val="99"/>
    <w:unhideWhenUsed/>
    <w:rsid w:val="00264AD9"/>
    <w:pPr>
      <w:tabs>
        <w:tab w:val="center" w:pos="4819"/>
        <w:tab w:val="right" w:pos="9638"/>
      </w:tabs>
    </w:pPr>
  </w:style>
  <w:style w:type="character" w:customStyle="1" w:styleId="SidefodTegn">
    <w:name w:val="Sidefod Tegn"/>
    <w:basedOn w:val="Standardskrifttypeiafsnit"/>
    <w:link w:val="Sidefod"/>
    <w:uiPriority w:val="99"/>
    <w:rsid w:val="00264AD9"/>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5334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9/90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ps.dk/da/ansvar-og-retningslinjer/patienters-retsstilling/informeret-samtykke/varigt-inhabile-patienter/somatisk-tva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DQB0142/Downloads/B20170139605%20(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tsinformation.dk/eli/lta/2019/12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5878</Characters>
  <Application>Microsoft Office Word</Application>
  <DocSecurity>0</DocSecurity>
  <Lines>173</Lines>
  <Paragraphs>74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Tvang ved somatisk behandling af varigt inhabile</dc:title>
  <dc:subject/>
  <dc:creator>Ghita Marianne Steenholt</dc:creator>
  <cp:keywords/>
  <dc:description/>
  <cp:lastModifiedBy>Jesper Kjersgaard Nielsen</cp:lastModifiedBy>
  <cp:revision>2</cp:revision>
  <dcterms:created xsi:type="dcterms:W3CDTF">2023-05-08T10:44:00Z</dcterms:created>
  <dcterms:modified xsi:type="dcterms:W3CDTF">2023-05-08T10:44:00Z</dcterms:modified>
</cp:coreProperties>
</file>