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15168" w:type="dxa"/>
        <w:tblInd w:w="-856" w:type="dxa"/>
        <w:tblLayout w:type="fixed"/>
        <w:tblLook w:val="04A0" w:firstRow="1" w:lastRow="0" w:firstColumn="1" w:lastColumn="0" w:noHBand="0" w:noVBand="1"/>
      </w:tblPr>
      <w:tblGrid>
        <w:gridCol w:w="709"/>
        <w:gridCol w:w="2269"/>
        <w:gridCol w:w="1275"/>
        <w:gridCol w:w="5954"/>
        <w:gridCol w:w="4961"/>
      </w:tblGrid>
      <w:tr w:rsidR="00073728" w:rsidTr="00073728">
        <w:tc>
          <w:tcPr>
            <w:tcW w:w="709" w:type="dxa"/>
          </w:tcPr>
          <w:p w:rsidR="00073728" w:rsidRPr="00BC3F0F" w:rsidRDefault="00073728" w:rsidP="00A46DA1">
            <w:pPr>
              <w:rPr>
                <w:b/>
                <w:color w:val="FF0000"/>
                <w:sz w:val="24"/>
                <w:szCs w:val="24"/>
              </w:rPr>
            </w:pPr>
            <w:r w:rsidRPr="00BC3F0F">
              <w:rPr>
                <w:b/>
                <w:color w:val="FF0000"/>
                <w:sz w:val="24"/>
                <w:szCs w:val="24"/>
              </w:rPr>
              <w:t>Nr.</w:t>
            </w:r>
          </w:p>
        </w:tc>
        <w:tc>
          <w:tcPr>
            <w:tcW w:w="2269" w:type="dxa"/>
          </w:tcPr>
          <w:p w:rsidR="00073728" w:rsidRPr="008E2F2B" w:rsidRDefault="00073728" w:rsidP="00A46DA1">
            <w:pPr>
              <w:rPr>
                <w:b/>
                <w:color w:val="FF0000"/>
                <w:sz w:val="24"/>
                <w:szCs w:val="24"/>
              </w:rPr>
            </w:pPr>
            <w:r w:rsidRPr="008E2F2B">
              <w:rPr>
                <w:b/>
                <w:color w:val="FF0000"/>
                <w:sz w:val="24"/>
                <w:szCs w:val="24"/>
              </w:rPr>
              <w:t>Indhold</w:t>
            </w:r>
          </w:p>
        </w:tc>
        <w:tc>
          <w:tcPr>
            <w:tcW w:w="1275" w:type="dxa"/>
          </w:tcPr>
          <w:p w:rsidR="00073728" w:rsidRPr="00BC3F0F" w:rsidRDefault="00073728" w:rsidP="00A46DA1">
            <w:pPr>
              <w:rPr>
                <w:b/>
                <w:color w:val="FF0000"/>
                <w:sz w:val="24"/>
                <w:szCs w:val="24"/>
              </w:rPr>
            </w:pPr>
            <w:r w:rsidRPr="00BC3F0F">
              <w:rPr>
                <w:b/>
                <w:color w:val="FF0000"/>
                <w:sz w:val="24"/>
                <w:szCs w:val="24"/>
              </w:rPr>
              <w:t xml:space="preserve"> Ansvarlig</w:t>
            </w:r>
          </w:p>
        </w:tc>
        <w:tc>
          <w:tcPr>
            <w:tcW w:w="5954" w:type="dxa"/>
          </w:tcPr>
          <w:p w:rsidR="00073728" w:rsidRPr="00BC3F0F" w:rsidRDefault="00073728" w:rsidP="00A46DA1">
            <w:pPr>
              <w:rPr>
                <w:b/>
                <w:color w:val="FF0000"/>
                <w:sz w:val="24"/>
                <w:szCs w:val="24"/>
              </w:rPr>
            </w:pPr>
            <w:r w:rsidRPr="00BC3F0F">
              <w:rPr>
                <w:b/>
                <w:color w:val="FF0000"/>
                <w:sz w:val="24"/>
                <w:szCs w:val="24"/>
              </w:rPr>
              <w:t>Referat</w:t>
            </w:r>
          </w:p>
        </w:tc>
        <w:tc>
          <w:tcPr>
            <w:tcW w:w="4961" w:type="dxa"/>
          </w:tcPr>
          <w:p w:rsidR="00073728" w:rsidRPr="00BC3F0F" w:rsidRDefault="00073728" w:rsidP="00A46DA1">
            <w:pPr>
              <w:rPr>
                <w:b/>
                <w:color w:val="FF0000"/>
                <w:sz w:val="24"/>
                <w:szCs w:val="24"/>
              </w:rPr>
            </w:pPr>
            <w:r>
              <w:rPr>
                <w:b/>
                <w:color w:val="FF0000"/>
                <w:sz w:val="24"/>
                <w:szCs w:val="24"/>
              </w:rPr>
              <w:t>Aftalt/ansvar/ deadline</w:t>
            </w:r>
          </w:p>
        </w:tc>
      </w:tr>
      <w:tr w:rsidR="00073728" w:rsidTr="00073728">
        <w:tc>
          <w:tcPr>
            <w:tcW w:w="709" w:type="dxa"/>
          </w:tcPr>
          <w:p w:rsidR="00073728" w:rsidRPr="00783014" w:rsidRDefault="00073728" w:rsidP="00A46DA1">
            <w:pPr>
              <w:rPr>
                <w:b/>
              </w:rPr>
            </w:pPr>
            <w:r w:rsidRPr="00783014">
              <w:rPr>
                <w:b/>
              </w:rPr>
              <w:t>1.</w:t>
            </w:r>
          </w:p>
        </w:tc>
        <w:tc>
          <w:tcPr>
            <w:tcW w:w="2269" w:type="dxa"/>
          </w:tcPr>
          <w:p w:rsidR="00073728" w:rsidRDefault="00073728" w:rsidP="00A46DA1">
            <w:pPr>
              <w:rPr>
                <w:b/>
              </w:rPr>
            </w:pPr>
            <w:r>
              <w:rPr>
                <w:b/>
              </w:rPr>
              <w:t>Velkommen til mødet</w:t>
            </w:r>
          </w:p>
          <w:p w:rsidR="00073728" w:rsidRPr="008E2F2B" w:rsidRDefault="00073728" w:rsidP="00A46DA1">
            <w:pPr>
              <w:rPr>
                <w:b/>
              </w:rPr>
            </w:pPr>
          </w:p>
        </w:tc>
        <w:tc>
          <w:tcPr>
            <w:tcW w:w="1275" w:type="dxa"/>
          </w:tcPr>
          <w:p w:rsidR="00073728" w:rsidRDefault="00073728" w:rsidP="00A46DA1">
            <w:r>
              <w:t>Mette</w:t>
            </w:r>
          </w:p>
        </w:tc>
        <w:tc>
          <w:tcPr>
            <w:tcW w:w="5954" w:type="dxa"/>
          </w:tcPr>
          <w:p w:rsidR="00073728" w:rsidRDefault="00073728" w:rsidP="00A46DA1"/>
        </w:tc>
        <w:tc>
          <w:tcPr>
            <w:tcW w:w="4961" w:type="dxa"/>
          </w:tcPr>
          <w:p w:rsidR="00073728" w:rsidRDefault="00073728" w:rsidP="00A46DA1"/>
        </w:tc>
      </w:tr>
      <w:tr w:rsidR="00073728" w:rsidTr="00073728">
        <w:tc>
          <w:tcPr>
            <w:tcW w:w="709" w:type="dxa"/>
          </w:tcPr>
          <w:p w:rsidR="00073728" w:rsidRPr="00783014" w:rsidRDefault="00073728" w:rsidP="00A46DA1">
            <w:pPr>
              <w:rPr>
                <w:b/>
              </w:rPr>
            </w:pPr>
            <w:r w:rsidRPr="00783014">
              <w:rPr>
                <w:b/>
              </w:rPr>
              <w:t>2.</w:t>
            </w:r>
          </w:p>
        </w:tc>
        <w:tc>
          <w:tcPr>
            <w:tcW w:w="2269" w:type="dxa"/>
          </w:tcPr>
          <w:p w:rsidR="00073728" w:rsidRDefault="00073728" w:rsidP="00A46DA1">
            <w:pPr>
              <w:rPr>
                <w:b/>
              </w:rPr>
            </w:pPr>
            <w:r>
              <w:rPr>
                <w:b/>
              </w:rPr>
              <w:t>Fødsels</w:t>
            </w:r>
            <w:r w:rsidRPr="00F86015">
              <w:rPr>
                <w:b/>
              </w:rPr>
              <w:t>depression</w:t>
            </w:r>
          </w:p>
          <w:p w:rsidR="00073728" w:rsidRPr="00F86015" w:rsidRDefault="00073728" w:rsidP="00A46DA1">
            <w:pPr>
              <w:rPr>
                <w:b/>
              </w:rPr>
            </w:pPr>
          </w:p>
        </w:tc>
        <w:tc>
          <w:tcPr>
            <w:tcW w:w="1275" w:type="dxa"/>
          </w:tcPr>
          <w:p w:rsidR="00073728" w:rsidRDefault="00073728" w:rsidP="00A46DA1">
            <w:r>
              <w:t>Iris</w:t>
            </w:r>
          </w:p>
        </w:tc>
        <w:tc>
          <w:tcPr>
            <w:tcW w:w="5954" w:type="dxa"/>
          </w:tcPr>
          <w:p w:rsidR="00073728" w:rsidRDefault="00073728" w:rsidP="00A46DA1">
            <w:r>
              <w:t xml:space="preserve">Iris fortalte om et 2-dages kursus, hun har været på, om fødselsdepression. Se Iris´ slides. </w:t>
            </w:r>
          </w:p>
          <w:p w:rsidR="005163EB" w:rsidRDefault="005163EB" w:rsidP="00A46DA1"/>
          <w:p w:rsidR="00073728" w:rsidRDefault="00073728" w:rsidP="00A46DA1">
            <w:bookmarkStart w:id="0" w:name="_GoBack"/>
            <w:bookmarkEnd w:id="0"/>
            <w:r>
              <w:t xml:space="preserve">Iris præsenterede et opdateret EPDS skema med et mere tidssvarende sprog, som passer til både kvinder og mænd. </w:t>
            </w:r>
          </w:p>
        </w:tc>
        <w:tc>
          <w:tcPr>
            <w:tcW w:w="4961" w:type="dxa"/>
          </w:tcPr>
          <w:p w:rsidR="00073728" w:rsidRDefault="00073728" w:rsidP="007502EF">
            <w:r>
              <w:t xml:space="preserve">Mette lægger nogle af filmene fra Iris´ kursus ind i FIV materialet. </w:t>
            </w:r>
          </w:p>
          <w:p w:rsidR="00073728" w:rsidRDefault="00073728" w:rsidP="000167D0"/>
          <w:p w:rsidR="00073728" w:rsidRDefault="00073728" w:rsidP="000167D0">
            <w:r>
              <w:t xml:space="preserve">Lisbeth lægger det opdaterede EPDS skema i Novax. </w:t>
            </w:r>
          </w:p>
        </w:tc>
      </w:tr>
      <w:tr w:rsidR="00073728" w:rsidTr="00073728">
        <w:tc>
          <w:tcPr>
            <w:tcW w:w="709" w:type="dxa"/>
          </w:tcPr>
          <w:p w:rsidR="00073728" w:rsidRPr="00783014" w:rsidRDefault="00073728" w:rsidP="00A46DA1">
            <w:pPr>
              <w:rPr>
                <w:b/>
              </w:rPr>
            </w:pPr>
            <w:r>
              <w:rPr>
                <w:b/>
              </w:rPr>
              <w:t>3</w:t>
            </w:r>
            <w:r w:rsidRPr="00783014">
              <w:rPr>
                <w:b/>
              </w:rPr>
              <w:t>.</w:t>
            </w:r>
          </w:p>
        </w:tc>
        <w:tc>
          <w:tcPr>
            <w:tcW w:w="2269" w:type="dxa"/>
          </w:tcPr>
          <w:p w:rsidR="00073728" w:rsidRDefault="00073728" w:rsidP="00854178">
            <w:pPr>
              <w:rPr>
                <w:b/>
              </w:rPr>
            </w:pPr>
            <w:r>
              <w:rPr>
                <w:b/>
              </w:rPr>
              <w:t>Hygiejne</w:t>
            </w:r>
          </w:p>
          <w:p w:rsidR="00073728" w:rsidRPr="008E2F2B" w:rsidRDefault="00073728" w:rsidP="00854178">
            <w:pPr>
              <w:rPr>
                <w:b/>
              </w:rPr>
            </w:pPr>
          </w:p>
        </w:tc>
        <w:tc>
          <w:tcPr>
            <w:tcW w:w="1275" w:type="dxa"/>
          </w:tcPr>
          <w:p w:rsidR="00073728" w:rsidRDefault="00073728" w:rsidP="00A46DA1">
            <w:r>
              <w:t>Tanja/Dorthe</w:t>
            </w:r>
          </w:p>
        </w:tc>
        <w:tc>
          <w:tcPr>
            <w:tcW w:w="5954" w:type="dxa"/>
          </w:tcPr>
          <w:p w:rsidR="00073728" w:rsidRDefault="00073728" w:rsidP="00A46DA1">
            <w:r>
              <w:t xml:space="preserve">Der kommer ikke en hygiejne-retningslinje for Sundhedsplejen fra Sundhedsstyrelsen. Vi kører efter NIR. </w:t>
            </w:r>
          </w:p>
          <w:p w:rsidR="00073728" w:rsidRDefault="00073728" w:rsidP="00A46DA1"/>
          <w:p w:rsidR="00073728" w:rsidRDefault="00073728" w:rsidP="00E83710">
            <w:r>
              <w:t xml:space="preserve">Dorthe pointerer, at retningslinjerne for rene procedurer skal overholdes – men vi kan inspirere hinanden ift. </w:t>
            </w:r>
            <w:r w:rsidRPr="00E83710">
              <w:rPr>
                <w:i/>
              </w:rPr>
              <w:t>hvordan</w:t>
            </w:r>
            <w:r>
              <w:t xml:space="preserve"> de bedst overholdes. Man kan fx bede om et rent håndklæde, eller man kan medbringe papirhåndklæder. </w:t>
            </w:r>
          </w:p>
          <w:p w:rsidR="00073728" w:rsidRDefault="00073728" w:rsidP="00E83710"/>
        </w:tc>
        <w:tc>
          <w:tcPr>
            <w:tcW w:w="4961" w:type="dxa"/>
          </w:tcPr>
          <w:p w:rsidR="00073728" w:rsidRDefault="00073728" w:rsidP="00A46DA1">
            <w:r>
              <w:t xml:space="preserve">Tanja laver en retningslinje til os. </w:t>
            </w:r>
          </w:p>
        </w:tc>
      </w:tr>
      <w:tr w:rsidR="00073728" w:rsidTr="00073728">
        <w:tc>
          <w:tcPr>
            <w:tcW w:w="709" w:type="dxa"/>
          </w:tcPr>
          <w:p w:rsidR="00073728" w:rsidRPr="00783014" w:rsidRDefault="00073728" w:rsidP="00A46DA1">
            <w:pPr>
              <w:rPr>
                <w:b/>
              </w:rPr>
            </w:pPr>
            <w:r>
              <w:rPr>
                <w:b/>
              </w:rPr>
              <w:t>4</w:t>
            </w:r>
            <w:r w:rsidRPr="00783014">
              <w:rPr>
                <w:b/>
              </w:rPr>
              <w:t>.</w:t>
            </w:r>
          </w:p>
        </w:tc>
        <w:tc>
          <w:tcPr>
            <w:tcW w:w="2269" w:type="dxa"/>
          </w:tcPr>
          <w:p w:rsidR="00073728" w:rsidRDefault="00073728" w:rsidP="00E54682">
            <w:pPr>
              <w:rPr>
                <w:b/>
              </w:rPr>
            </w:pPr>
            <w:r>
              <w:rPr>
                <w:b/>
              </w:rPr>
              <w:t>Pause</w:t>
            </w:r>
          </w:p>
          <w:p w:rsidR="00073728" w:rsidRPr="008E2F2B" w:rsidRDefault="00073728" w:rsidP="00E54682">
            <w:pPr>
              <w:rPr>
                <w:b/>
              </w:rPr>
            </w:pPr>
          </w:p>
        </w:tc>
        <w:tc>
          <w:tcPr>
            <w:tcW w:w="1275" w:type="dxa"/>
          </w:tcPr>
          <w:p w:rsidR="00073728" w:rsidRDefault="00073728" w:rsidP="00DF182C"/>
        </w:tc>
        <w:tc>
          <w:tcPr>
            <w:tcW w:w="5954" w:type="dxa"/>
          </w:tcPr>
          <w:p w:rsidR="00073728" w:rsidRDefault="00073728" w:rsidP="00A46DA1"/>
        </w:tc>
        <w:tc>
          <w:tcPr>
            <w:tcW w:w="4961" w:type="dxa"/>
          </w:tcPr>
          <w:p w:rsidR="00073728" w:rsidRDefault="00073728" w:rsidP="00A46DA1"/>
        </w:tc>
      </w:tr>
      <w:tr w:rsidR="00073728" w:rsidTr="00073728">
        <w:tc>
          <w:tcPr>
            <w:tcW w:w="709" w:type="dxa"/>
          </w:tcPr>
          <w:p w:rsidR="00073728" w:rsidRPr="00783014" w:rsidRDefault="00073728" w:rsidP="00BD4920">
            <w:pPr>
              <w:rPr>
                <w:b/>
              </w:rPr>
            </w:pPr>
            <w:r>
              <w:rPr>
                <w:b/>
              </w:rPr>
              <w:t>5</w:t>
            </w:r>
            <w:r w:rsidRPr="00783014">
              <w:rPr>
                <w:b/>
              </w:rPr>
              <w:t>.</w:t>
            </w:r>
          </w:p>
        </w:tc>
        <w:tc>
          <w:tcPr>
            <w:tcW w:w="2269" w:type="dxa"/>
          </w:tcPr>
          <w:p w:rsidR="00073728" w:rsidRDefault="00073728" w:rsidP="00E54682">
            <w:pPr>
              <w:rPr>
                <w:b/>
              </w:rPr>
            </w:pPr>
            <w:r>
              <w:rPr>
                <w:b/>
              </w:rPr>
              <w:t>Audit m. cases</w:t>
            </w:r>
          </w:p>
          <w:p w:rsidR="00073728" w:rsidRPr="008E2F2B" w:rsidRDefault="00073728" w:rsidP="00E54682">
            <w:pPr>
              <w:rPr>
                <w:b/>
              </w:rPr>
            </w:pPr>
          </w:p>
        </w:tc>
        <w:tc>
          <w:tcPr>
            <w:tcW w:w="1275" w:type="dxa"/>
          </w:tcPr>
          <w:p w:rsidR="00073728" w:rsidRDefault="00073728" w:rsidP="00A46DA1">
            <w:r>
              <w:t>Heidi</w:t>
            </w:r>
          </w:p>
        </w:tc>
        <w:tc>
          <w:tcPr>
            <w:tcW w:w="5954" w:type="dxa"/>
          </w:tcPr>
          <w:p w:rsidR="00073728" w:rsidRDefault="00073728" w:rsidP="009559E3">
            <w:r>
              <w:t xml:space="preserve">Heidi mødes 3 gange årligt med hospitalet ift. audit på genindlagte børn under 28 dage med trivselsproblematikker; ikke børn med sygdom. Fokus er på om genindlæggelserne kunne være undgået. Der er generelt meget få genindlagte børn, hvor det vurderes, at indlæggelsen kunne være undgået. På sidste audit var der to potentielt </w:t>
            </w:r>
            <w:proofErr w:type="spellStart"/>
            <w:r>
              <w:t>undgåelige</w:t>
            </w:r>
            <w:proofErr w:type="spellEnd"/>
            <w:r>
              <w:t xml:space="preserve"> indlæggelser. Disse to cases drøftede vi i et læringsperspektiv ift. om noget kunne være håndteret anderledes af sundhedsplejersken. </w:t>
            </w:r>
          </w:p>
          <w:p w:rsidR="00B838A9" w:rsidRDefault="00B838A9" w:rsidP="00F141C2">
            <w:pPr>
              <w:pStyle w:val="Listeafsnit"/>
            </w:pPr>
          </w:p>
        </w:tc>
        <w:tc>
          <w:tcPr>
            <w:tcW w:w="4961" w:type="dxa"/>
          </w:tcPr>
          <w:p w:rsidR="00073728" w:rsidRDefault="00073728" w:rsidP="00A46DA1"/>
        </w:tc>
      </w:tr>
      <w:tr w:rsidR="00073728" w:rsidTr="00073728">
        <w:tc>
          <w:tcPr>
            <w:tcW w:w="709" w:type="dxa"/>
          </w:tcPr>
          <w:p w:rsidR="00073728" w:rsidRPr="00783014" w:rsidRDefault="00073728" w:rsidP="00A46DA1">
            <w:pPr>
              <w:rPr>
                <w:b/>
              </w:rPr>
            </w:pPr>
            <w:r>
              <w:rPr>
                <w:b/>
              </w:rPr>
              <w:t>6</w:t>
            </w:r>
            <w:r w:rsidRPr="00783014">
              <w:rPr>
                <w:b/>
              </w:rPr>
              <w:t>.</w:t>
            </w:r>
          </w:p>
        </w:tc>
        <w:tc>
          <w:tcPr>
            <w:tcW w:w="2269" w:type="dxa"/>
          </w:tcPr>
          <w:p w:rsidR="00073728" w:rsidRDefault="00073728" w:rsidP="00E54682">
            <w:pPr>
              <w:rPr>
                <w:b/>
              </w:rPr>
            </w:pPr>
            <w:r>
              <w:rPr>
                <w:b/>
              </w:rPr>
              <w:t>Evt.</w:t>
            </w:r>
          </w:p>
          <w:p w:rsidR="00073728" w:rsidRPr="008E2F2B" w:rsidRDefault="00073728" w:rsidP="00E54682">
            <w:pPr>
              <w:rPr>
                <w:b/>
              </w:rPr>
            </w:pPr>
          </w:p>
        </w:tc>
        <w:tc>
          <w:tcPr>
            <w:tcW w:w="1275" w:type="dxa"/>
          </w:tcPr>
          <w:p w:rsidR="00073728" w:rsidRDefault="00073728" w:rsidP="00A46DA1">
            <w:r>
              <w:t>Mette</w:t>
            </w:r>
          </w:p>
        </w:tc>
        <w:tc>
          <w:tcPr>
            <w:tcW w:w="5954" w:type="dxa"/>
          </w:tcPr>
          <w:p w:rsidR="00073728" w:rsidRDefault="00514186" w:rsidP="008E2F2B">
            <w:r>
              <w:t>Hanne spurgte til strontium i vandet (som der er i Kastbjerg)</w:t>
            </w:r>
            <w:r w:rsidR="005163EB">
              <w:t>.</w:t>
            </w:r>
            <w:r>
              <w:t xml:space="preserve"> </w:t>
            </w:r>
            <w:r w:rsidR="005163EB">
              <w:t xml:space="preserve">Hanne </w:t>
            </w:r>
            <w:r>
              <w:t xml:space="preserve">har slået det op og det må ikke gives til spædbørn, og man bør heller ikke amme, </w:t>
            </w:r>
            <w:r w:rsidR="00046566">
              <w:t>hvis</w:t>
            </w:r>
            <w:r>
              <w:t xml:space="preserve"> man drikker </w:t>
            </w:r>
            <w:r w:rsidR="00046566">
              <w:t>vandet</w:t>
            </w:r>
            <w:r>
              <w:t xml:space="preserve">. </w:t>
            </w:r>
            <w:r w:rsidR="00046566">
              <w:t xml:space="preserve">Hvem bør vide og informere om dette? </w:t>
            </w:r>
          </w:p>
          <w:p w:rsidR="00514186" w:rsidRDefault="00514186" w:rsidP="008E2F2B"/>
        </w:tc>
        <w:tc>
          <w:tcPr>
            <w:tcW w:w="4961" w:type="dxa"/>
          </w:tcPr>
          <w:p w:rsidR="00073728" w:rsidRDefault="005163EB" w:rsidP="00A46DA1">
            <w:r>
              <w:t>Dorthe følger op på det.</w:t>
            </w:r>
          </w:p>
        </w:tc>
      </w:tr>
    </w:tbl>
    <w:p w:rsidR="00595BEE" w:rsidRDefault="00595BEE"/>
    <w:p w:rsidR="0052147B" w:rsidRDefault="0052147B">
      <w:r>
        <w:t>Referent: Rikke KK</w:t>
      </w:r>
    </w:p>
    <w:sectPr w:rsidR="0052147B" w:rsidSect="002B15E2">
      <w:headerReference w:type="first" r:id="rId7"/>
      <w:pgSz w:w="16838" w:h="11906" w:orient="landscape"/>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FB" w:rsidRDefault="00B808FB" w:rsidP="00BC3F0F">
      <w:pPr>
        <w:spacing w:after="0" w:line="240" w:lineRule="auto"/>
      </w:pPr>
      <w:r>
        <w:separator/>
      </w:r>
    </w:p>
  </w:endnote>
  <w:endnote w:type="continuationSeparator" w:id="0">
    <w:p w:rsidR="00B808FB" w:rsidRDefault="00B808FB" w:rsidP="00BC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FB" w:rsidRDefault="00B808FB" w:rsidP="00BC3F0F">
      <w:pPr>
        <w:spacing w:after="0" w:line="240" w:lineRule="auto"/>
      </w:pPr>
      <w:r>
        <w:separator/>
      </w:r>
    </w:p>
  </w:footnote>
  <w:footnote w:type="continuationSeparator" w:id="0">
    <w:p w:rsidR="00B808FB" w:rsidRDefault="00B808FB" w:rsidP="00BC3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E2" w:rsidRPr="002B15E2" w:rsidRDefault="005163EB">
    <w:pPr>
      <w:pStyle w:val="Sidehoved"/>
      <w:rPr>
        <w:b/>
        <w:sz w:val="28"/>
        <w:szCs w:val="28"/>
      </w:rPr>
    </w:pPr>
    <w:r>
      <w:rPr>
        <w:b/>
        <w:sz w:val="28"/>
        <w:szCs w:val="28"/>
      </w:rPr>
      <w:t xml:space="preserve">Referat af </w:t>
    </w:r>
    <w:proofErr w:type="spellStart"/>
    <w:r w:rsidR="00BD4920">
      <w:rPr>
        <w:b/>
        <w:sz w:val="28"/>
        <w:szCs w:val="28"/>
      </w:rPr>
      <w:t>F-møde</w:t>
    </w:r>
    <w:proofErr w:type="spellEnd"/>
    <w:r w:rsidR="00BD4920">
      <w:rPr>
        <w:b/>
        <w:sz w:val="28"/>
        <w:szCs w:val="28"/>
      </w:rPr>
      <w:t xml:space="preserve">, spæd- og småbørn. </w:t>
    </w:r>
    <w:r w:rsidR="002911E9">
      <w:rPr>
        <w:b/>
        <w:sz w:val="28"/>
        <w:szCs w:val="28"/>
      </w:rPr>
      <w:t>Tor</w:t>
    </w:r>
    <w:r w:rsidR="00D02F1D">
      <w:rPr>
        <w:b/>
        <w:sz w:val="28"/>
        <w:szCs w:val="28"/>
      </w:rPr>
      <w:t xml:space="preserve">sdag d. </w:t>
    </w:r>
    <w:r w:rsidR="00681433">
      <w:rPr>
        <w:b/>
        <w:sz w:val="28"/>
        <w:szCs w:val="28"/>
      </w:rPr>
      <w:t>19</w:t>
    </w:r>
    <w:r w:rsidR="002911E9">
      <w:rPr>
        <w:b/>
        <w:sz w:val="28"/>
        <w:szCs w:val="28"/>
      </w:rPr>
      <w:t>/</w:t>
    </w:r>
    <w:proofErr w:type="gramStart"/>
    <w:r w:rsidR="00681433">
      <w:rPr>
        <w:b/>
        <w:sz w:val="28"/>
        <w:szCs w:val="28"/>
      </w:rPr>
      <w:t>1</w:t>
    </w:r>
    <w:r w:rsidR="00BD4920">
      <w:rPr>
        <w:b/>
        <w:sz w:val="28"/>
        <w:szCs w:val="28"/>
      </w:rPr>
      <w:t xml:space="preserve"> </w:t>
    </w:r>
    <w:r w:rsidR="002B15E2" w:rsidRPr="002B15E2">
      <w:rPr>
        <w:b/>
        <w:sz w:val="28"/>
        <w:szCs w:val="28"/>
      </w:rPr>
      <w:t xml:space="preserve"> </w:t>
    </w:r>
    <w:r>
      <w:rPr>
        <w:b/>
        <w:sz w:val="28"/>
        <w:szCs w:val="28"/>
      </w:rPr>
      <w:t>2023</w:t>
    </w:r>
    <w:proofErr w:type="gramEnd"/>
  </w:p>
  <w:p w:rsidR="002B15E2" w:rsidRDefault="002B15E2">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048C1"/>
    <w:multiLevelType w:val="hybridMultilevel"/>
    <w:tmpl w:val="7542F0E2"/>
    <w:lvl w:ilvl="0" w:tplc="4ABEF0DA">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765D22"/>
    <w:multiLevelType w:val="hybridMultilevel"/>
    <w:tmpl w:val="6E320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F15869"/>
    <w:multiLevelType w:val="hybridMultilevel"/>
    <w:tmpl w:val="D56AD8EC"/>
    <w:lvl w:ilvl="0" w:tplc="94DAD5DC">
      <w:start w:val="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FDB793B"/>
    <w:multiLevelType w:val="hybridMultilevel"/>
    <w:tmpl w:val="593A90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0F"/>
    <w:rsid w:val="000036F5"/>
    <w:rsid w:val="00005A91"/>
    <w:rsid w:val="0001215E"/>
    <w:rsid w:val="000167D0"/>
    <w:rsid w:val="00031BC3"/>
    <w:rsid w:val="0004221D"/>
    <w:rsid w:val="00044E92"/>
    <w:rsid w:val="00046566"/>
    <w:rsid w:val="00073728"/>
    <w:rsid w:val="000C054B"/>
    <w:rsid w:val="000D45A9"/>
    <w:rsid w:val="000E4C91"/>
    <w:rsid w:val="00147DCD"/>
    <w:rsid w:val="00153996"/>
    <w:rsid w:val="001541D8"/>
    <w:rsid w:val="001664E2"/>
    <w:rsid w:val="00181DC9"/>
    <w:rsid w:val="001A1049"/>
    <w:rsid w:val="001B1168"/>
    <w:rsid w:val="001D190E"/>
    <w:rsid w:val="001D29AC"/>
    <w:rsid w:val="00216700"/>
    <w:rsid w:val="0022386D"/>
    <w:rsid w:val="0023535B"/>
    <w:rsid w:val="002452C5"/>
    <w:rsid w:val="00262205"/>
    <w:rsid w:val="002911E9"/>
    <w:rsid w:val="002A68F7"/>
    <w:rsid w:val="002B15E2"/>
    <w:rsid w:val="002C3DFF"/>
    <w:rsid w:val="00327804"/>
    <w:rsid w:val="00335C5B"/>
    <w:rsid w:val="00354529"/>
    <w:rsid w:val="003651C1"/>
    <w:rsid w:val="0036582A"/>
    <w:rsid w:val="00365C68"/>
    <w:rsid w:val="00374B67"/>
    <w:rsid w:val="003A32C7"/>
    <w:rsid w:val="003A405A"/>
    <w:rsid w:val="003D12E2"/>
    <w:rsid w:val="003E4889"/>
    <w:rsid w:val="00422587"/>
    <w:rsid w:val="004B3430"/>
    <w:rsid w:val="004B633B"/>
    <w:rsid w:val="005041DD"/>
    <w:rsid w:val="005106BD"/>
    <w:rsid w:val="00514186"/>
    <w:rsid w:val="005163EB"/>
    <w:rsid w:val="0052147B"/>
    <w:rsid w:val="005329DF"/>
    <w:rsid w:val="00545C38"/>
    <w:rsid w:val="005622E3"/>
    <w:rsid w:val="00573422"/>
    <w:rsid w:val="0059476F"/>
    <w:rsid w:val="00595BEE"/>
    <w:rsid w:val="005C085D"/>
    <w:rsid w:val="005E736C"/>
    <w:rsid w:val="00604B08"/>
    <w:rsid w:val="006062E5"/>
    <w:rsid w:val="006250AA"/>
    <w:rsid w:val="00655235"/>
    <w:rsid w:val="00681433"/>
    <w:rsid w:val="00694BCE"/>
    <w:rsid w:val="006971A6"/>
    <w:rsid w:val="006C378A"/>
    <w:rsid w:val="00734733"/>
    <w:rsid w:val="007452FB"/>
    <w:rsid w:val="007502EF"/>
    <w:rsid w:val="0077462E"/>
    <w:rsid w:val="00783014"/>
    <w:rsid w:val="007A3E8B"/>
    <w:rsid w:val="007C2716"/>
    <w:rsid w:val="007C2F13"/>
    <w:rsid w:val="007C75A2"/>
    <w:rsid w:val="007E1DFB"/>
    <w:rsid w:val="007E6639"/>
    <w:rsid w:val="00814B0B"/>
    <w:rsid w:val="00854178"/>
    <w:rsid w:val="0088738F"/>
    <w:rsid w:val="00896E8A"/>
    <w:rsid w:val="008A4634"/>
    <w:rsid w:val="008D6524"/>
    <w:rsid w:val="008E2F2B"/>
    <w:rsid w:val="009013BD"/>
    <w:rsid w:val="00911DF7"/>
    <w:rsid w:val="009130B8"/>
    <w:rsid w:val="00935166"/>
    <w:rsid w:val="009559E3"/>
    <w:rsid w:val="00984FA0"/>
    <w:rsid w:val="009B5CB2"/>
    <w:rsid w:val="009C2B7B"/>
    <w:rsid w:val="009D6780"/>
    <w:rsid w:val="00A2256D"/>
    <w:rsid w:val="00A46DA1"/>
    <w:rsid w:val="00A513B6"/>
    <w:rsid w:val="00A61EA9"/>
    <w:rsid w:val="00A82A4D"/>
    <w:rsid w:val="00AF64B2"/>
    <w:rsid w:val="00B3448B"/>
    <w:rsid w:val="00B511D1"/>
    <w:rsid w:val="00B77123"/>
    <w:rsid w:val="00B808FB"/>
    <w:rsid w:val="00B838A9"/>
    <w:rsid w:val="00BA5C6E"/>
    <w:rsid w:val="00BA74D9"/>
    <w:rsid w:val="00BC3F0F"/>
    <w:rsid w:val="00BD4920"/>
    <w:rsid w:val="00C146EE"/>
    <w:rsid w:val="00C22EFC"/>
    <w:rsid w:val="00C275E9"/>
    <w:rsid w:val="00C533B1"/>
    <w:rsid w:val="00C57CA4"/>
    <w:rsid w:val="00C71600"/>
    <w:rsid w:val="00C97CC1"/>
    <w:rsid w:val="00CC2A9D"/>
    <w:rsid w:val="00CD4ACD"/>
    <w:rsid w:val="00CE6507"/>
    <w:rsid w:val="00CF1412"/>
    <w:rsid w:val="00D02F1D"/>
    <w:rsid w:val="00D10D6F"/>
    <w:rsid w:val="00D20716"/>
    <w:rsid w:val="00D3091C"/>
    <w:rsid w:val="00D350F7"/>
    <w:rsid w:val="00D61D0B"/>
    <w:rsid w:val="00D919C2"/>
    <w:rsid w:val="00DA2FC1"/>
    <w:rsid w:val="00DA430E"/>
    <w:rsid w:val="00DC3591"/>
    <w:rsid w:val="00DF182C"/>
    <w:rsid w:val="00DF5841"/>
    <w:rsid w:val="00DF6AFA"/>
    <w:rsid w:val="00E37863"/>
    <w:rsid w:val="00E53227"/>
    <w:rsid w:val="00E54682"/>
    <w:rsid w:val="00E566FC"/>
    <w:rsid w:val="00E82962"/>
    <w:rsid w:val="00E83710"/>
    <w:rsid w:val="00EA7514"/>
    <w:rsid w:val="00EC23A2"/>
    <w:rsid w:val="00EE76C9"/>
    <w:rsid w:val="00EF2338"/>
    <w:rsid w:val="00F01189"/>
    <w:rsid w:val="00F141C2"/>
    <w:rsid w:val="00F375C7"/>
    <w:rsid w:val="00F41102"/>
    <w:rsid w:val="00F601E3"/>
    <w:rsid w:val="00F61DC3"/>
    <w:rsid w:val="00F629A8"/>
    <w:rsid w:val="00F741F2"/>
    <w:rsid w:val="00F86015"/>
    <w:rsid w:val="00FC70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9B701FDF-C6AD-41F5-8299-57514D12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C3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C3F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F0F"/>
  </w:style>
  <w:style w:type="paragraph" w:styleId="Sidefod">
    <w:name w:val="footer"/>
    <w:basedOn w:val="Normal"/>
    <w:link w:val="SidefodTegn"/>
    <w:uiPriority w:val="99"/>
    <w:unhideWhenUsed/>
    <w:rsid w:val="00BC3F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F0F"/>
  </w:style>
  <w:style w:type="paragraph" w:styleId="Listeafsnit">
    <w:name w:val="List Paragraph"/>
    <w:basedOn w:val="Normal"/>
    <w:uiPriority w:val="34"/>
    <w:qFormat/>
    <w:rsid w:val="00D10D6F"/>
    <w:pPr>
      <w:ind w:left="720"/>
      <w:contextualSpacing/>
    </w:pPr>
  </w:style>
  <w:style w:type="paragraph" w:styleId="Markeringsbobletekst">
    <w:name w:val="Balloon Text"/>
    <w:basedOn w:val="Normal"/>
    <w:link w:val="MarkeringsbobletekstTegn"/>
    <w:uiPriority w:val="99"/>
    <w:semiHidden/>
    <w:unhideWhenUsed/>
    <w:rsid w:val="00335C5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35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215</Words>
  <Characters>1411</Characters>
  <Application>Microsoft Office Word</Application>
  <DocSecurity>0</DocSecurity>
  <Lines>235</Lines>
  <Paragraphs>135</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Lise Buus Nielsen</dc:creator>
  <cp:keywords/>
  <dc:description/>
  <cp:lastModifiedBy>Rikke Kamstrup Knudsen</cp:lastModifiedBy>
  <cp:revision>21</cp:revision>
  <cp:lastPrinted>2019-04-04T11:36:00Z</cp:lastPrinted>
  <dcterms:created xsi:type="dcterms:W3CDTF">2023-01-13T08:04:00Z</dcterms:created>
  <dcterms:modified xsi:type="dcterms:W3CDTF">2023-01-19T14:52:00Z</dcterms:modified>
</cp:coreProperties>
</file>