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06"/>
        <w:gridCol w:w="4252"/>
      </w:tblGrid>
      <w:tr w:rsidR="00083080" w:rsidTr="00083080">
        <w:tc>
          <w:tcPr>
            <w:tcW w:w="567" w:type="dxa"/>
          </w:tcPr>
          <w:p w:rsidR="00083080" w:rsidRPr="00BC3F0F" w:rsidRDefault="00083080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1843" w:type="dxa"/>
          </w:tcPr>
          <w:p w:rsidR="00083080" w:rsidRPr="008E2F2B" w:rsidRDefault="00083080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8506" w:type="dxa"/>
          </w:tcPr>
          <w:p w:rsidR="00083080" w:rsidRPr="00BC3F0F" w:rsidRDefault="00083080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4252" w:type="dxa"/>
          </w:tcPr>
          <w:p w:rsidR="00083080" w:rsidRPr="00BC3F0F" w:rsidRDefault="00083080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083080" w:rsidTr="00083080">
        <w:tc>
          <w:tcPr>
            <w:tcW w:w="567" w:type="dxa"/>
          </w:tcPr>
          <w:p w:rsidR="00083080" w:rsidRPr="00783014" w:rsidRDefault="00083080" w:rsidP="00A46DA1">
            <w:pPr>
              <w:rPr>
                <w:b/>
              </w:rPr>
            </w:pPr>
            <w:r w:rsidRPr="00783014">
              <w:rPr>
                <w:b/>
              </w:rPr>
              <w:t>1.</w:t>
            </w:r>
          </w:p>
        </w:tc>
        <w:tc>
          <w:tcPr>
            <w:tcW w:w="1843" w:type="dxa"/>
          </w:tcPr>
          <w:p w:rsidR="00083080" w:rsidRPr="008E2F2B" w:rsidRDefault="00083080" w:rsidP="00A46DA1">
            <w:pPr>
              <w:rPr>
                <w:b/>
              </w:rPr>
            </w:pPr>
            <w:r>
              <w:rPr>
                <w:b/>
              </w:rPr>
              <w:t>Velkommen</w:t>
            </w:r>
          </w:p>
        </w:tc>
        <w:tc>
          <w:tcPr>
            <w:tcW w:w="8506" w:type="dxa"/>
          </w:tcPr>
          <w:p w:rsidR="00083080" w:rsidRDefault="00083080" w:rsidP="00A46DA1"/>
        </w:tc>
        <w:tc>
          <w:tcPr>
            <w:tcW w:w="4252" w:type="dxa"/>
          </w:tcPr>
          <w:p w:rsidR="00083080" w:rsidRDefault="00083080" w:rsidP="00A46DA1"/>
        </w:tc>
      </w:tr>
      <w:tr w:rsidR="00083080" w:rsidTr="00083080">
        <w:tc>
          <w:tcPr>
            <w:tcW w:w="567" w:type="dxa"/>
          </w:tcPr>
          <w:p w:rsidR="00083080" w:rsidRPr="00783014" w:rsidRDefault="00083080" w:rsidP="00A46DA1">
            <w:pPr>
              <w:rPr>
                <w:b/>
              </w:rPr>
            </w:pPr>
            <w:r w:rsidRPr="00783014">
              <w:rPr>
                <w:b/>
              </w:rPr>
              <w:t>2.</w:t>
            </w:r>
          </w:p>
        </w:tc>
        <w:tc>
          <w:tcPr>
            <w:tcW w:w="1843" w:type="dxa"/>
          </w:tcPr>
          <w:p w:rsidR="00083080" w:rsidRPr="008E2F2B" w:rsidRDefault="00083080" w:rsidP="00A46DA1">
            <w:pPr>
              <w:rPr>
                <w:b/>
              </w:rPr>
            </w:pPr>
            <w:r>
              <w:rPr>
                <w:b/>
              </w:rPr>
              <w:t xml:space="preserve">Motorik </w:t>
            </w:r>
          </w:p>
        </w:tc>
        <w:tc>
          <w:tcPr>
            <w:tcW w:w="8506" w:type="dxa"/>
          </w:tcPr>
          <w:p w:rsidR="00083080" w:rsidRDefault="00083080" w:rsidP="00A46DA1">
            <w:r>
              <w:t xml:space="preserve">Se vedhæftede slides, både fra dagens oplæg + det forrige oplæg, som Vibeke holdt. </w:t>
            </w:r>
          </w:p>
          <w:p w:rsidR="00083080" w:rsidRDefault="00083080" w:rsidP="00A46DA1"/>
          <w:p w:rsidR="00083080" w:rsidRDefault="00083080" w:rsidP="00A46DA1">
            <w:r>
              <w:t xml:space="preserve">Kan tænkes som en inspiration/grundviden til FIV. </w:t>
            </w:r>
          </w:p>
          <w:p w:rsidR="00083080" w:rsidRDefault="00083080" w:rsidP="00A46DA1"/>
          <w:p w:rsidR="00083080" w:rsidRDefault="00083080" w:rsidP="00A46DA1">
            <w:r>
              <w:t xml:space="preserve">Fra 7. måned er barnet i maven afhængig af mors bevægelser, da det ikke længere selv kan bevæge sig ret meget. Dette betyder, at hvis mor er meget liggende, bliver labyrintsansen understimuleret. </w:t>
            </w:r>
          </w:p>
          <w:p w:rsidR="00083080" w:rsidRDefault="00083080" w:rsidP="00A46DA1"/>
          <w:p w:rsidR="00083080" w:rsidRDefault="00083080" w:rsidP="00A46DA1">
            <w:r>
              <w:t>Vigtigt at få børn ned på maven allerede fra fødslen.</w:t>
            </w:r>
          </w:p>
          <w:p w:rsidR="00083080" w:rsidRDefault="00083080" w:rsidP="00A46DA1"/>
          <w:p w:rsidR="00083080" w:rsidRDefault="00083080" w:rsidP="005B708A">
            <w:r>
              <w:t>Hvis børn ikke kan løfte hovedet, skal de vendes rundt</w:t>
            </w:r>
            <w:r w:rsidR="006F00C4">
              <w:t>, så labyrintsansen stimuleres</w:t>
            </w:r>
            <w:r>
              <w:t xml:space="preserve"> – hovedet nedad, </w:t>
            </w:r>
            <w:r w:rsidR="006F00C4">
              <w:t>kolbøtter</w:t>
            </w:r>
            <w:r>
              <w:t xml:space="preserve"> mv. mange gange om dagen. </w:t>
            </w:r>
          </w:p>
          <w:p w:rsidR="00741191" w:rsidRDefault="00741191" w:rsidP="005B708A"/>
          <w:p w:rsidR="009739BE" w:rsidRDefault="009739BE" w:rsidP="005B708A">
            <w:r>
              <w:t>Alle nyfødte og spæd</w:t>
            </w:r>
            <w:r w:rsidR="00741191">
              <w:t xml:space="preserve">børn skal roteres for at holde </w:t>
            </w:r>
            <w:proofErr w:type="spellStart"/>
            <w:r w:rsidR="00741191">
              <w:t>v</w:t>
            </w:r>
            <w:r>
              <w:t>estibulærsansen</w:t>
            </w:r>
            <w:proofErr w:type="spellEnd"/>
            <w:r>
              <w:t xml:space="preserve"> velstimuleret (også have hovedet nedad).</w:t>
            </w:r>
          </w:p>
          <w:p w:rsidR="00083080" w:rsidRDefault="00083080" w:rsidP="005B708A"/>
          <w:p w:rsidR="00083080" w:rsidRDefault="00083080" w:rsidP="005B708A">
            <w:r>
              <w:t xml:space="preserve">Børn fødes uden bevidsthed. Den første bevidste handling er det bevidste smil. </w:t>
            </w:r>
          </w:p>
          <w:p w:rsidR="00083080" w:rsidRDefault="00083080" w:rsidP="005B708A"/>
          <w:p w:rsidR="00083080" w:rsidRDefault="00083080" w:rsidP="005B708A">
            <w:r>
              <w:t>Manglende stimuli tidligt i livet</w:t>
            </w:r>
            <w:r w:rsidR="009739BE">
              <w:t xml:space="preserve"> medfører varige skader på det </w:t>
            </w:r>
            <w:proofErr w:type="spellStart"/>
            <w:r w:rsidR="00741191">
              <w:t>l</w:t>
            </w:r>
            <w:r w:rsidR="00DA4F53">
              <w:t>imbiske</w:t>
            </w:r>
            <w:proofErr w:type="spellEnd"/>
            <w:r w:rsidR="00DA4F53">
              <w:t xml:space="preserve"> system, som</w:t>
            </w:r>
            <w:r>
              <w:t xml:space="preserve"> styrer følelseslivet, fx at aflæse ansigter, knytte sig til andre og at impulsregulere. Ses fx hos en del adoptivbørn. </w:t>
            </w:r>
          </w:p>
          <w:p w:rsidR="00083080" w:rsidRDefault="00083080" w:rsidP="005B708A"/>
          <w:p w:rsidR="00083080" w:rsidRDefault="00083080" w:rsidP="002537D0">
            <w:proofErr w:type="spellStart"/>
            <w:r>
              <w:t>Tonus</w:t>
            </w:r>
            <w:proofErr w:type="spellEnd"/>
            <w:r>
              <w:t xml:space="preserve"> = spændingstilstand. Den holder os i live, når vi sover. ”Karklud-børn” er børn med lav </w:t>
            </w:r>
            <w:proofErr w:type="spellStart"/>
            <w:r>
              <w:t>tonus</w:t>
            </w:r>
            <w:proofErr w:type="spellEnd"/>
            <w:r>
              <w:t>. ”Børn der klatrer på væggene” er</w:t>
            </w:r>
            <w:r w:rsidR="00DA4F53">
              <w:t xml:space="preserve"> som udgangspunkt</w:t>
            </w:r>
            <w:r>
              <w:t xml:space="preserve"> børn med høj </w:t>
            </w:r>
            <w:proofErr w:type="spellStart"/>
            <w:r>
              <w:t>tonus</w:t>
            </w:r>
            <w:proofErr w:type="spellEnd"/>
            <w:r>
              <w:t xml:space="preserve">. Børn med lav </w:t>
            </w:r>
            <w:proofErr w:type="spellStart"/>
            <w:r>
              <w:t>tonus</w:t>
            </w:r>
            <w:proofErr w:type="spellEnd"/>
            <w:r>
              <w:t xml:space="preserve"> sk</w:t>
            </w:r>
            <w:r w:rsidR="00DA4F53">
              <w:t>al ”vækkes” med tummel og vendes</w:t>
            </w:r>
            <w:r>
              <w:t xml:space="preserve"> rundt, kraftig berøring, </w:t>
            </w:r>
            <w:proofErr w:type="spellStart"/>
            <w:r>
              <w:t>ledstød</w:t>
            </w:r>
            <w:proofErr w:type="spellEnd"/>
            <w:r>
              <w:t xml:space="preserve">, høj og varieret </w:t>
            </w:r>
            <w:proofErr w:type="spellStart"/>
            <w:r>
              <w:t>stemmeførsel</w:t>
            </w:r>
            <w:proofErr w:type="spellEnd"/>
            <w:r>
              <w:t xml:space="preserve"> mv. </w:t>
            </w:r>
          </w:p>
          <w:p w:rsidR="00083080" w:rsidRDefault="00083080" w:rsidP="002537D0"/>
          <w:p w:rsidR="00083080" w:rsidRDefault="00083080" w:rsidP="002537D0">
            <w:r>
              <w:t xml:space="preserve">Reflekser er til for at modne et motorisk område. Når området er modnet, integreres refleksen. </w:t>
            </w:r>
          </w:p>
          <w:p w:rsidR="00083080" w:rsidRDefault="00083080" w:rsidP="002537D0"/>
          <w:p w:rsidR="00083080" w:rsidRDefault="00083080" w:rsidP="002537D0">
            <w:r>
              <w:lastRenderedPageBreak/>
              <w:t>De tre primære sanser er hele grundlaget: Labyrintsansen, muskel-</w:t>
            </w:r>
            <w:proofErr w:type="spellStart"/>
            <w:r>
              <w:t>ledsansen</w:t>
            </w:r>
            <w:proofErr w:type="spellEnd"/>
            <w:r>
              <w:t xml:space="preserve"> og følesansen. De tre primære sanser kickstarter alle reflekser. Alle reflekser skal være væk ved 1½ år, udover faldrefleksen. </w:t>
            </w:r>
          </w:p>
          <w:p w:rsidR="00083080" w:rsidRDefault="00083080" w:rsidP="002537D0"/>
          <w:p w:rsidR="00083080" w:rsidRDefault="00083080" w:rsidP="002537D0">
            <w:r>
              <w:t>Stimulation af krydsbevægelser</w:t>
            </w:r>
            <w:r w:rsidR="006F00C4">
              <w:t>/krydsstræk</w:t>
            </w:r>
            <w:r>
              <w:t xml:space="preserve"> styrker samspillet mellem de to hjernehalvdele. Dette skal ske allerede fra fødslen. </w:t>
            </w:r>
          </w:p>
          <w:p w:rsidR="00083080" w:rsidRDefault="00083080" w:rsidP="002537D0"/>
          <w:p w:rsidR="00083080" w:rsidRDefault="00083080" w:rsidP="002537D0">
            <w:r>
              <w:t>Stimulation af de tre buegange er vigti</w:t>
            </w:r>
            <w:r w:rsidR="00741191">
              <w:t xml:space="preserve">gt ift. at få en velstimuleret </w:t>
            </w:r>
            <w:proofErr w:type="spellStart"/>
            <w:r w:rsidR="00741191">
              <w:t>v</w:t>
            </w:r>
            <w:r>
              <w:t>estibulærsans</w:t>
            </w:r>
            <w:proofErr w:type="spellEnd"/>
            <w:r>
              <w:t xml:space="preserve"> (labyrintsans). Man skal kunne dreje </w:t>
            </w:r>
            <w:r w:rsidR="00DA4F53">
              <w:t xml:space="preserve">6 - </w:t>
            </w:r>
            <w:r>
              <w:t xml:space="preserve">8 gange rundt i alle tre planer og derefter være i ro i løbet af 2 sekunder. </w:t>
            </w:r>
          </w:p>
          <w:p w:rsidR="00083080" w:rsidRDefault="00083080" w:rsidP="002537D0"/>
          <w:p w:rsidR="00083080" w:rsidRDefault="00083080" w:rsidP="002537D0">
            <w:r>
              <w:t xml:space="preserve">En ikke-integreret galantrefleks </w:t>
            </w:r>
            <w:r w:rsidRPr="00DA4F53">
              <w:rPr>
                <w:i/>
              </w:rPr>
              <w:t>kan</w:t>
            </w:r>
            <w:r>
              <w:t xml:space="preserve"> have betydning for </w:t>
            </w:r>
            <w:r w:rsidR="00DA4F53">
              <w:t>inkontinens, da aktiv Galantrefleks kan udløse en blæretømning.</w:t>
            </w:r>
          </w:p>
          <w:p w:rsidR="00083080" w:rsidRDefault="00083080" w:rsidP="002537D0"/>
        </w:tc>
        <w:tc>
          <w:tcPr>
            <w:tcW w:w="4252" w:type="dxa"/>
          </w:tcPr>
          <w:p w:rsidR="00083080" w:rsidRDefault="00083080" w:rsidP="00D42C36">
            <w:r>
              <w:lastRenderedPageBreak/>
              <w:t xml:space="preserve">Rikke sørger for, at der oprettes en motorik-mappe på </w:t>
            </w:r>
            <w:proofErr w:type="spellStart"/>
            <w:r>
              <w:t>intra</w:t>
            </w:r>
            <w:proofErr w:type="spellEnd"/>
            <w:r>
              <w:t xml:space="preserve">. Heri lægges Vibekes slides. </w:t>
            </w:r>
          </w:p>
          <w:p w:rsidR="00083080" w:rsidRDefault="00083080" w:rsidP="00D42C36"/>
          <w:p w:rsidR="00083080" w:rsidRDefault="00083080" w:rsidP="00D42C36">
            <w:r>
              <w:t xml:space="preserve">Der skal kigges på, om der skal noget ind i fraserne vedr. grundmotorik. Mette har teten på dette. </w:t>
            </w:r>
          </w:p>
          <w:p w:rsidR="00083080" w:rsidRDefault="00083080" w:rsidP="00D42C36"/>
          <w:p w:rsidR="00083080" w:rsidRDefault="00083080" w:rsidP="00D42C36">
            <w:r>
              <w:t xml:space="preserve">Der skal optages nogle små film med de forskellige øvelser udført sammen med et barn. Mette og Vibeke har teten på dette. </w:t>
            </w:r>
          </w:p>
        </w:tc>
      </w:tr>
      <w:tr w:rsidR="00083080" w:rsidTr="00083080">
        <w:tc>
          <w:tcPr>
            <w:tcW w:w="567" w:type="dxa"/>
          </w:tcPr>
          <w:p w:rsidR="00083080" w:rsidRPr="00783014" w:rsidRDefault="00083080" w:rsidP="00A46DA1">
            <w:pPr>
              <w:rPr>
                <w:b/>
              </w:rPr>
            </w:pPr>
            <w:r>
              <w:rPr>
                <w:b/>
              </w:rPr>
              <w:t>3</w:t>
            </w:r>
            <w:r w:rsidRPr="00783014">
              <w:rPr>
                <w:b/>
              </w:rPr>
              <w:t>.</w:t>
            </w:r>
          </w:p>
        </w:tc>
        <w:tc>
          <w:tcPr>
            <w:tcW w:w="1843" w:type="dxa"/>
          </w:tcPr>
          <w:p w:rsidR="00083080" w:rsidRPr="008E2F2B" w:rsidRDefault="00083080" w:rsidP="00854178">
            <w:pPr>
              <w:rPr>
                <w:b/>
              </w:rPr>
            </w:pPr>
            <w:r>
              <w:rPr>
                <w:b/>
              </w:rPr>
              <w:t>Frokost</w:t>
            </w:r>
          </w:p>
        </w:tc>
        <w:tc>
          <w:tcPr>
            <w:tcW w:w="8506" w:type="dxa"/>
          </w:tcPr>
          <w:p w:rsidR="00083080" w:rsidRDefault="00083080" w:rsidP="00A46DA1"/>
        </w:tc>
        <w:tc>
          <w:tcPr>
            <w:tcW w:w="4252" w:type="dxa"/>
          </w:tcPr>
          <w:p w:rsidR="00083080" w:rsidRDefault="00083080" w:rsidP="00A46DA1"/>
        </w:tc>
      </w:tr>
      <w:tr w:rsidR="00083080" w:rsidTr="00083080">
        <w:tc>
          <w:tcPr>
            <w:tcW w:w="567" w:type="dxa"/>
          </w:tcPr>
          <w:p w:rsidR="00083080" w:rsidRPr="00783014" w:rsidRDefault="00083080" w:rsidP="00A46DA1">
            <w:pPr>
              <w:rPr>
                <w:b/>
              </w:rPr>
            </w:pPr>
            <w:r>
              <w:rPr>
                <w:b/>
              </w:rPr>
              <w:t>4</w:t>
            </w:r>
            <w:r w:rsidRPr="00783014">
              <w:rPr>
                <w:b/>
              </w:rPr>
              <w:t>.</w:t>
            </w:r>
          </w:p>
        </w:tc>
        <w:tc>
          <w:tcPr>
            <w:tcW w:w="1843" w:type="dxa"/>
          </w:tcPr>
          <w:p w:rsidR="00083080" w:rsidRPr="008E2F2B" w:rsidRDefault="00083080" w:rsidP="00E54682">
            <w:pPr>
              <w:rPr>
                <w:b/>
              </w:rPr>
            </w:pPr>
            <w:r>
              <w:rPr>
                <w:b/>
              </w:rPr>
              <w:t>Senpræmaturitet</w:t>
            </w:r>
          </w:p>
        </w:tc>
        <w:tc>
          <w:tcPr>
            <w:tcW w:w="8506" w:type="dxa"/>
          </w:tcPr>
          <w:p w:rsidR="00083080" w:rsidRDefault="00083080" w:rsidP="00A46DA1">
            <w:r>
              <w:t xml:space="preserve">Se vedhæftede slides. </w:t>
            </w:r>
          </w:p>
          <w:p w:rsidR="00083080" w:rsidRDefault="00083080" w:rsidP="00A46DA1"/>
          <w:p w:rsidR="00083080" w:rsidRDefault="005F4A07" w:rsidP="00A46DA1">
            <w:r>
              <w:t>For de</w:t>
            </w:r>
            <w:r w:rsidR="00083080">
              <w:t xml:space="preserve"> præmature børns vedkommende ses </w:t>
            </w:r>
            <w:r w:rsidR="00172CCB">
              <w:t xml:space="preserve">udfordringer i motoriske og </w:t>
            </w:r>
            <w:proofErr w:type="spellStart"/>
            <w:r w:rsidR="00172CCB">
              <w:t>l</w:t>
            </w:r>
            <w:bookmarkStart w:id="0" w:name="_GoBack"/>
            <w:bookmarkEnd w:id="0"/>
            <w:r>
              <w:t>imbiske</w:t>
            </w:r>
            <w:proofErr w:type="spellEnd"/>
            <w:r>
              <w:t xml:space="preserve"> systems udvikling også</w:t>
            </w:r>
            <w:r w:rsidR="00083080">
              <w:t xml:space="preserve"> i dagtilbudsalderen eller skolealderen. </w:t>
            </w:r>
          </w:p>
          <w:p w:rsidR="00083080" w:rsidRDefault="00083080" w:rsidP="00A46DA1"/>
          <w:p w:rsidR="00083080" w:rsidRDefault="00083080" w:rsidP="00A46DA1">
            <w:r>
              <w:t xml:space="preserve">Vigtigt at korrigere for alder, når man vurderer præmature børns motoriske udvikling. </w:t>
            </w:r>
          </w:p>
          <w:p w:rsidR="00083080" w:rsidRDefault="00083080" w:rsidP="00A46DA1"/>
          <w:p w:rsidR="00083080" w:rsidRDefault="00083080" w:rsidP="00A46DA1">
            <w:r>
              <w:t>Vigtigt at hjælpe de præmature til at komme i balance og blive ”samlet” i fosterstilling. Ubalance ses fx ved arme og ben, der flagrer rundt.</w:t>
            </w:r>
          </w:p>
          <w:p w:rsidR="00083080" w:rsidRDefault="00083080" w:rsidP="00A46DA1"/>
        </w:tc>
        <w:tc>
          <w:tcPr>
            <w:tcW w:w="4252" w:type="dxa"/>
          </w:tcPr>
          <w:p w:rsidR="00083080" w:rsidRDefault="00083080" w:rsidP="00940040">
            <w:r>
              <w:t>Mette og Anne Lise tager en dialog med dagtilbud i forhold til at få skrevet ind i vores samarbejdsaftaler med dagplejen og vuggestuer, hvordan vi håndterer præmature og hvordan de skal tælle ift. normering.</w:t>
            </w:r>
          </w:p>
        </w:tc>
      </w:tr>
      <w:tr w:rsidR="00083080" w:rsidTr="00083080">
        <w:tc>
          <w:tcPr>
            <w:tcW w:w="567" w:type="dxa"/>
          </w:tcPr>
          <w:p w:rsidR="00083080" w:rsidRPr="00783014" w:rsidRDefault="00083080" w:rsidP="00BD4920">
            <w:pPr>
              <w:rPr>
                <w:b/>
              </w:rPr>
            </w:pPr>
            <w:r>
              <w:rPr>
                <w:b/>
              </w:rPr>
              <w:t>5</w:t>
            </w:r>
            <w:r w:rsidRPr="00783014">
              <w:rPr>
                <w:b/>
              </w:rPr>
              <w:t>.</w:t>
            </w:r>
          </w:p>
        </w:tc>
        <w:tc>
          <w:tcPr>
            <w:tcW w:w="1843" w:type="dxa"/>
          </w:tcPr>
          <w:p w:rsidR="00083080" w:rsidRPr="008E2F2B" w:rsidRDefault="00083080" w:rsidP="00E54682">
            <w:pPr>
              <w:rPr>
                <w:b/>
              </w:rPr>
            </w:pPr>
            <w:r>
              <w:rPr>
                <w:b/>
              </w:rPr>
              <w:t>Amning</w:t>
            </w:r>
          </w:p>
        </w:tc>
        <w:tc>
          <w:tcPr>
            <w:tcW w:w="8506" w:type="dxa"/>
          </w:tcPr>
          <w:p w:rsidR="00083080" w:rsidRDefault="00083080" w:rsidP="00A46DA1">
            <w:r>
              <w:t xml:space="preserve">Se vedhæftede slides. </w:t>
            </w:r>
          </w:p>
        </w:tc>
        <w:tc>
          <w:tcPr>
            <w:tcW w:w="4252" w:type="dxa"/>
          </w:tcPr>
          <w:p w:rsidR="00083080" w:rsidRDefault="00083080" w:rsidP="00A46DA1"/>
        </w:tc>
      </w:tr>
    </w:tbl>
    <w:p w:rsidR="00595BEE" w:rsidRDefault="00595BEE"/>
    <w:sectPr w:rsidR="00595BEE" w:rsidSect="002B1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AC" w:rsidRDefault="007217AC" w:rsidP="00BC3F0F">
      <w:pPr>
        <w:spacing w:after="0" w:line="240" w:lineRule="auto"/>
      </w:pPr>
      <w:r>
        <w:separator/>
      </w:r>
    </w:p>
  </w:endnote>
  <w:endnote w:type="continuationSeparator" w:id="0">
    <w:p w:rsidR="007217AC" w:rsidRDefault="007217AC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98" w:rsidRDefault="00E342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98" w:rsidRDefault="00E3429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98" w:rsidRDefault="00E342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AC" w:rsidRDefault="007217AC" w:rsidP="00BC3F0F">
      <w:pPr>
        <w:spacing w:after="0" w:line="240" w:lineRule="auto"/>
      </w:pPr>
      <w:r>
        <w:separator/>
      </w:r>
    </w:p>
  </w:footnote>
  <w:footnote w:type="continuationSeparator" w:id="0">
    <w:p w:rsidR="007217AC" w:rsidRDefault="007217AC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98" w:rsidRDefault="00E342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98" w:rsidRDefault="00E3429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Pr="002B15E2" w:rsidRDefault="005C0B6D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Udviklingsdag</w:t>
    </w:r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>
      <w:rPr>
        <w:b/>
        <w:sz w:val="28"/>
        <w:szCs w:val="28"/>
      </w:rPr>
      <w:t>24</w:t>
    </w:r>
    <w:r w:rsidR="002911E9">
      <w:rPr>
        <w:b/>
        <w:sz w:val="28"/>
        <w:szCs w:val="28"/>
      </w:rPr>
      <w:t>/</w:t>
    </w:r>
    <w:r>
      <w:rPr>
        <w:b/>
        <w:sz w:val="28"/>
        <w:szCs w:val="28"/>
      </w:rPr>
      <w:t>11</w:t>
    </w:r>
    <w:r w:rsidR="00BD4920">
      <w:rPr>
        <w:b/>
        <w:sz w:val="28"/>
        <w:szCs w:val="28"/>
      </w:rPr>
      <w:t xml:space="preserve"> </w:t>
    </w:r>
    <w:r w:rsidR="00E34298">
      <w:rPr>
        <w:b/>
        <w:sz w:val="28"/>
        <w:szCs w:val="28"/>
      </w:rPr>
      <w:t>2022</w:t>
    </w:r>
  </w:p>
  <w:p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013C"/>
    <w:rsid w:val="0004221D"/>
    <w:rsid w:val="00044E92"/>
    <w:rsid w:val="00083080"/>
    <w:rsid w:val="000C054B"/>
    <w:rsid w:val="000D45A9"/>
    <w:rsid w:val="000E4C91"/>
    <w:rsid w:val="001340EB"/>
    <w:rsid w:val="00147DCD"/>
    <w:rsid w:val="00153996"/>
    <w:rsid w:val="001541D8"/>
    <w:rsid w:val="001664E2"/>
    <w:rsid w:val="00172CCB"/>
    <w:rsid w:val="00181DC9"/>
    <w:rsid w:val="001A1049"/>
    <w:rsid w:val="001B1168"/>
    <w:rsid w:val="001D190E"/>
    <w:rsid w:val="001D29AC"/>
    <w:rsid w:val="00216700"/>
    <w:rsid w:val="0022386D"/>
    <w:rsid w:val="0023535B"/>
    <w:rsid w:val="002452C5"/>
    <w:rsid w:val="002537D0"/>
    <w:rsid w:val="00262205"/>
    <w:rsid w:val="002911E9"/>
    <w:rsid w:val="002A68F7"/>
    <w:rsid w:val="002B15E2"/>
    <w:rsid w:val="002C0EAB"/>
    <w:rsid w:val="002D2374"/>
    <w:rsid w:val="00327804"/>
    <w:rsid w:val="00335C5B"/>
    <w:rsid w:val="003651C1"/>
    <w:rsid w:val="0036582A"/>
    <w:rsid w:val="00365C68"/>
    <w:rsid w:val="00370AB2"/>
    <w:rsid w:val="00374B67"/>
    <w:rsid w:val="003A32C7"/>
    <w:rsid w:val="003B3870"/>
    <w:rsid w:val="003D12E2"/>
    <w:rsid w:val="003E4889"/>
    <w:rsid w:val="003F0027"/>
    <w:rsid w:val="00422587"/>
    <w:rsid w:val="004B3430"/>
    <w:rsid w:val="004B633B"/>
    <w:rsid w:val="004D67DE"/>
    <w:rsid w:val="005041DD"/>
    <w:rsid w:val="005106BD"/>
    <w:rsid w:val="00521C07"/>
    <w:rsid w:val="005329DF"/>
    <w:rsid w:val="00536BD9"/>
    <w:rsid w:val="00545C38"/>
    <w:rsid w:val="005622E3"/>
    <w:rsid w:val="00573422"/>
    <w:rsid w:val="0059476F"/>
    <w:rsid w:val="00595BEE"/>
    <w:rsid w:val="005B708A"/>
    <w:rsid w:val="005C0B6D"/>
    <w:rsid w:val="005C16F5"/>
    <w:rsid w:val="005D07D2"/>
    <w:rsid w:val="005E736C"/>
    <w:rsid w:val="005F4A07"/>
    <w:rsid w:val="00604B08"/>
    <w:rsid w:val="006062E5"/>
    <w:rsid w:val="006250AA"/>
    <w:rsid w:val="00655235"/>
    <w:rsid w:val="00694BCE"/>
    <w:rsid w:val="006971A6"/>
    <w:rsid w:val="006C378A"/>
    <w:rsid w:val="006F00C4"/>
    <w:rsid w:val="007217AC"/>
    <w:rsid w:val="00726A2C"/>
    <w:rsid w:val="00734733"/>
    <w:rsid w:val="00741191"/>
    <w:rsid w:val="007452FB"/>
    <w:rsid w:val="0077462E"/>
    <w:rsid w:val="00783014"/>
    <w:rsid w:val="007A0BE0"/>
    <w:rsid w:val="007A3E8B"/>
    <w:rsid w:val="007C2F13"/>
    <w:rsid w:val="007C75A2"/>
    <w:rsid w:val="007E1DFB"/>
    <w:rsid w:val="007E6639"/>
    <w:rsid w:val="00814B0B"/>
    <w:rsid w:val="00854178"/>
    <w:rsid w:val="0088738F"/>
    <w:rsid w:val="00896E8A"/>
    <w:rsid w:val="008A4634"/>
    <w:rsid w:val="008D3EAC"/>
    <w:rsid w:val="008D6524"/>
    <w:rsid w:val="008E2F2B"/>
    <w:rsid w:val="009013BD"/>
    <w:rsid w:val="00911DF7"/>
    <w:rsid w:val="009130B8"/>
    <w:rsid w:val="00935166"/>
    <w:rsid w:val="009365CF"/>
    <w:rsid w:val="00940040"/>
    <w:rsid w:val="00942A72"/>
    <w:rsid w:val="009739BE"/>
    <w:rsid w:val="00974242"/>
    <w:rsid w:val="00984FA0"/>
    <w:rsid w:val="009B5CB2"/>
    <w:rsid w:val="009C2B7B"/>
    <w:rsid w:val="009D6780"/>
    <w:rsid w:val="00A2256D"/>
    <w:rsid w:val="00A46DA1"/>
    <w:rsid w:val="00A513B6"/>
    <w:rsid w:val="00A61EA9"/>
    <w:rsid w:val="00A82A4D"/>
    <w:rsid w:val="00AA1FC2"/>
    <w:rsid w:val="00AF367C"/>
    <w:rsid w:val="00AF64B2"/>
    <w:rsid w:val="00B3448B"/>
    <w:rsid w:val="00B511D1"/>
    <w:rsid w:val="00B77123"/>
    <w:rsid w:val="00B808FB"/>
    <w:rsid w:val="00BA5C6E"/>
    <w:rsid w:val="00BA74D9"/>
    <w:rsid w:val="00BC3F0F"/>
    <w:rsid w:val="00BD4920"/>
    <w:rsid w:val="00C146EE"/>
    <w:rsid w:val="00C22EFC"/>
    <w:rsid w:val="00C275E9"/>
    <w:rsid w:val="00C533B1"/>
    <w:rsid w:val="00C57CA4"/>
    <w:rsid w:val="00C71600"/>
    <w:rsid w:val="00CC2A9D"/>
    <w:rsid w:val="00CD4ACD"/>
    <w:rsid w:val="00CE29DD"/>
    <w:rsid w:val="00CE6507"/>
    <w:rsid w:val="00CF1412"/>
    <w:rsid w:val="00D02F1D"/>
    <w:rsid w:val="00D07078"/>
    <w:rsid w:val="00D10D6F"/>
    <w:rsid w:val="00D20716"/>
    <w:rsid w:val="00D3091C"/>
    <w:rsid w:val="00D350F7"/>
    <w:rsid w:val="00D42C36"/>
    <w:rsid w:val="00D61D0B"/>
    <w:rsid w:val="00D919C2"/>
    <w:rsid w:val="00DA26D7"/>
    <w:rsid w:val="00DA2FC1"/>
    <w:rsid w:val="00DA430E"/>
    <w:rsid w:val="00DA4F53"/>
    <w:rsid w:val="00DC3591"/>
    <w:rsid w:val="00DF182C"/>
    <w:rsid w:val="00DF5841"/>
    <w:rsid w:val="00DF6AFA"/>
    <w:rsid w:val="00E34298"/>
    <w:rsid w:val="00E37863"/>
    <w:rsid w:val="00E53227"/>
    <w:rsid w:val="00E54682"/>
    <w:rsid w:val="00E82962"/>
    <w:rsid w:val="00EA5181"/>
    <w:rsid w:val="00EA7514"/>
    <w:rsid w:val="00EC23A2"/>
    <w:rsid w:val="00EE37D1"/>
    <w:rsid w:val="00EE69DC"/>
    <w:rsid w:val="00EE76C9"/>
    <w:rsid w:val="00EF2338"/>
    <w:rsid w:val="00F01189"/>
    <w:rsid w:val="00F13532"/>
    <w:rsid w:val="00F375C7"/>
    <w:rsid w:val="00F41102"/>
    <w:rsid w:val="00F47989"/>
    <w:rsid w:val="00F629A8"/>
    <w:rsid w:val="00F741F2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4</cp:revision>
  <cp:lastPrinted>2019-04-04T11:36:00Z</cp:lastPrinted>
  <dcterms:created xsi:type="dcterms:W3CDTF">2022-12-02T07:16:00Z</dcterms:created>
  <dcterms:modified xsi:type="dcterms:W3CDTF">2022-12-02T07:18:00Z</dcterms:modified>
</cp:coreProperties>
</file>