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107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7512"/>
        <w:gridCol w:w="1647"/>
      </w:tblGrid>
      <w:tr w:rsidR="007F1510" w:rsidTr="00717973">
        <w:tc>
          <w:tcPr>
            <w:tcW w:w="1560" w:type="dxa"/>
          </w:tcPr>
          <w:p w:rsidR="00FD15C7" w:rsidRPr="008E2F2B" w:rsidRDefault="00FD15C7" w:rsidP="00A46DA1">
            <w:pPr>
              <w:rPr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8E2F2B">
              <w:rPr>
                <w:b/>
                <w:color w:val="FF0000"/>
                <w:sz w:val="24"/>
                <w:szCs w:val="24"/>
              </w:rPr>
              <w:t>Indhold</w:t>
            </w:r>
          </w:p>
        </w:tc>
        <w:tc>
          <w:tcPr>
            <w:tcW w:w="7512" w:type="dxa"/>
          </w:tcPr>
          <w:p w:rsidR="00FD15C7" w:rsidRPr="00BC3F0F" w:rsidRDefault="00FD15C7" w:rsidP="00A46DA1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>Referat</w:t>
            </w:r>
          </w:p>
        </w:tc>
        <w:tc>
          <w:tcPr>
            <w:tcW w:w="1647" w:type="dxa"/>
          </w:tcPr>
          <w:p w:rsidR="00FD15C7" w:rsidRPr="00BC3F0F" w:rsidRDefault="00FD15C7" w:rsidP="00A46DA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Aftalt/ansvar/ deadline</w:t>
            </w:r>
          </w:p>
        </w:tc>
      </w:tr>
      <w:tr w:rsidR="007F1510" w:rsidTr="00717973">
        <w:tc>
          <w:tcPr>
            <w:tcW w:w="1560" w:type="dxa"/>
          </w:tcPr>
          <w:p w:rsidR="00FD15C7" w:rsidRPr="008E2F2B" w:rsidRDefault="00FD15C7" w:rsidP="00F83E89">
            <w:pPr>
              <w:rPr>
                <w:b/>
              </w:rPr>
            </w:pPr>
            <w:r>
              <w:rPr>
                <w:b/>
              </w:rPr>
              <w:t>Nyt fra fødsels</w:t>
            </w:r>
            <w:r w:rsidR="007F580E">
              <w:rPr>
                <w:b/>
              </w:rPr>
              <w:t>-</w:t>
            </w:r>
            <w:r>
              <w:rPr>
                <w:b/>
              </w:rPr>
              <w:t>depressions</w:t>
            </w:r>
            <w:r w:rsidR="007F580E">
              <w:rPr>
                <w:b/>
              </w:rPr>
              <w:t>-</w:t>
            </w:r>
            <w:r>
              <w:rPr>
                <w:b/>
              </w:rPr>
              <w:t>gruppen</w:t>
            </w:r>
          </w:p>
        </w:tc>
        <w:tc>
          <w:tcPr>
            <w:tcW w:w="7512" w:type="dxa"/>
          </w:tcPr>
          <w:p w:rsidR="00FD15C7" w:rsidRDefault="00DB1329" w:rsidP="00F83E89">
            <w:r>
              <w:t>D</w:t>
            </w:r>
            <w:r w:rsidR="00FD15C7">
              <w:t xml:space="preserve">et første </w:t>
            </w:r>
            <w:r>
              <w:t>gruppe</w:t>
            </w:r>
            <w:r w:rsidR="00FD15C7">
              <w:t>forløb</w:t>
            </w:r>
            <w:r>
              <w:t xml:space="preserve"> er netop afsluttet</w:t>
            </w:r>
            <w:r w:rsidR="00FD15C7">
              <w:t xml:space="preserve">. </w:t>
            </w:r>
            <w:r>
              <w:t>De h</w:t>
            </w:r>
            <w:r w:rsidR="00FD15C7">
              <w:t xml:space="preserve">ar oplevet, hvordan gruppen kan gøre en kæmpe forskel for deltagerne – at kunne være som den man er, og sådan som man har det. 3 af de 4 </w:t>
            </w:r>
            <w:r>
              <w:t>deltagere har fortsat kontakt og bruger hinanden.</w:t>
            </w:r>
          </w:p>
          <w:p w:rsidR="00FD15C7" w:rsidRDefault="00FD15C7" w:rsidP="00F83E89"/>
          <w:p w:rsidR="00FD15C7" w:rsidRDefault="00DB1329" w:rsidP="00F83E89">
            <w:r>
              <w:t xml:space="preserve">Typisk vil der være en tæt dialog mellem egen shpl og gruppelederne. </w:t>
            </w:r>
            <w:r w:rsidR="00FD15C7">
              <w:t>Der kan opstå problematikker, som sendes tilb</w:t>
            </w:r>
            <w:r>
              <w:t xml:space="preserve">age til egen sundhedsplejerske, da gruppelederne kun tager sig af det, der vedrører fødselsdepressionen. </w:t>
            </w:r>
          </w:p>
          <w:p w:rsidR="00FD15C7" w:rsidRDefault="00FD15C7" w:rsidP="00F83E89"/>
          <w:p w:rsidR="00FD15C7" w:rsidRDefault="00FD15C7" w:rsidP="00F83E89">
            <w:r>
              <w:t>Drøftelse af hvordan screeningsprocenten kan komme op. Vi skal gerne op på at screene 90%. Det antages at ca. 10 % ikke kan screenes pga. fx sprogbarrierer eller fordi de slet ikke ønsker en screening. Resten skal som udgangspunkt screenes</w:t>
            </w:r>
            <w:r w:rsidR="00DB1329">
              <w:t>, da man ikke nødvendigvis man fornemme, om en mor har fødselsdepression</w:t>
            </w:r>
            <w:r>
              <w:t xml:space="preserve">. Det skal noteres i journalen under ”EPDS ikke udfyldt”, hvis folk siger nej, med angivelse af årsag. </w:t>
            </w:r>
          </w:p>
          <w:p w:rsidR="00FD15C7" w:rsidRDefault="00FD15C7" w:rsidP="00F83E89"/>
          <w:p w:rsidR="00FD15C7" w:rsidRDefault="00FD15C7" w:rsidP="00F83E89">
            <w:r>
              <w:t xml:space="preserve">Man kan evt. italesætte det som ”fødselsreaktion”, fremfor ”fødselsdepression” for at gøre det mere ”spiseligt” for mødrene. </w:t>
            </w:r>
          </w:p>
          <w:p w:rsidR="00FD15C7" w:rsidRDefault="00FD15C7" w:rsidP="00F83E89"/>
          <w:p w:rsidR="00FD15C7" w:rsidRDefault="00FD15C7" w:rsidP="00F83E89">
            <w:r>
              <w:t xml:space="preserve">EPDS er skrevet ind i frasen for 2-3 mdr. besøg. Screeningen skal gerne foretages som det første. </w:t>
            </w:r>
          </w:p>
        </w:tc>
        <w:tc>
          <w:tcPr>
            <w:tcW w:w="1647" w:type="dxa"/>
          </w:tcPr>
          <w:p w:rsidR="00FD15C7" w:rsidRDefault="00FD15C7" w:rsidP="00F83E89"/>
          <w:p w:rsidR="00FD15C7" w:rsidRDefault="00FD15C7" w:rsidP="00F83E89"/>
          <w:p w:rsidR="00FD15C7" w:rsidRDefault="00FD15C7" w:rsidP="00F83E89"/>
          <w:p w:rsidR="00FD15C7" w:rsidRDefault="00FD15C7" w:rsidP="00F83E89"/>
          <w:p w:rsidR="00FD15C7" w:rsidRDefault="00FD15C7" w:rsidP="00F83E89"/>
          <w:p w:rsidR="00FD15C7" w:rsidRDefault="00FD15C7" w:rsidP="00F83E89"/>
          <w:p w:rsidR="00FD15C7" w:rsidRDefault="00FD15C7" w:rsidP="00F83E89"/>
          <w:p w:rsidR="00FD15C7" w:rsidRDefault="00FD15C7" w:rsidP="00F83E89">
            <w:r>
              <w:t xml:space="preserve">EPDS er en fast del af vores tilbud og alle skal screenes – medmindre de ikke kan screenes eller ikke vil. </w:t>
            </w:r>
          </w:p>
          <w:p w:rsidR="00FD15C7" w:rsidRDefault="00FD15C7" w:rsidP="00F83E89"/>
          <w:p w:rsidR="00DB1329" w:rsidRDefault="00DB1329" w:rsidP="00F83E89"/>
          <w:p w:rsidR="00DB1329" w:rsidRDefault="00DB1329" w:rsidP="00F83E89"/>
          <w:p w:rsidR="00FD15C7" w:rsidRDefault="00FD15C7" w:rsidP="00F83E89">
            <w:r>
              <w:t xml:space="preserve">EPDS skal rykkes op, så den står som det første i frasen. Gruppen beder Lisbeth </w:t>
            </w:r>
            <w:r w:rsidR="00C46F6C">
              <w:t>herom</w:t>
            </w:r>
          </w:p>
        </w:tc>
      </w:tr>
      <w:tr w:rsidR="007F1510" w:rsidTr="00717973">
        <w:tc>
          <w:tcPr>
            <w:tcW w:w="1560" w:type="dxa"/>
          </w:tcPr>
          <w:p w:rsidR="00FD15C7" w:rsidRDefault="007F1510" w:rsidP="00A46DA1">
            <w:pPr>
              <w:rPr>
                <w:b/>
              </w:rPr>
            </w:pPr>
            <w:r>
              <w:rPr>
                <w:b/>
              </w:rPr>
              <w:t>A</w:t>
            </w:r>
            <w:r w:rsidR="00FD15C7">
              <w:rPr>
                <w:b/>
              </w:rPr>
              <w:t>ftale</w:t>
            </w:r>
            <w:r w:rsidR="00DB1329">
              <w:rPr>
                <w:b/>
              </w:rPr>
              <w:t xml:space="preserve">mål </w:t>
            </w:r>
          </w:p>
          <w:p w:rsidR="00FD15C7" w:rsidRPr="008E2F2B" w:rsidRDefault="00FD15C7" w:rsidP="00A46DA1">
            <w:pPr>
              <w:rPr>
                <w:b/>
              </w:rPr>
            </w:pPr>
          </w:p>
        </w:tc>
        <w:tc>
          <w:tcPr>
            <w:tcW w:w="7512" w:type="dxa"/>
          </w:tcPr>
          <w:p w:rsidR="007F1510" w:rsidRDefault="00DB1329" w:rsidP="00A46DA1">
            <w:r>
              <w:t>Der er færre timer</w:t>
            </w:r>
            <w:r w:rsidR="00974715">
              <w:t xml:space="preserve"> at gøre med end først antaget i forhold til de efterreguleringer, der skulle laves efter sidste møde</w:t>
            </w:r>
          </w:p>
          <w:p w:rsidR="007F1510" w:rsidRDefault="007F1510" w:rsidP="007F1510">
            <w:r>
              <w:t xml:space="preserve">Det er besluttet: </w:t>
            </w:r>
          </w:p>
          <w:p w:rsidR="007F1510" w:rsidRDefault="007F1510" w:rsidP="007F1510">
            <w:pPr>
              <w:pStyle w:val="Listeafsnit"/>
              <w:numPr>
                <w:ilvl w:val="0"/>
                <w:numId w:val="4"/>
              </w:numPr>
            </w:pPr>
            <w:r>
              <w:t>Fortsat graviditetsbesøg til alle orange og røde familier</w:t>
            </w:r>
          </w:p>
          <w:p w:rsidR="007F1510" w:rsidRDefault="007F1510" w:rsidP="007F1510">
            <w:pPr>
              <w:pStyle w:val="Listeafsnit"/>
              <w:numPr>
                <w:ilvl w:val="0"/>
                <w:numId w:val="4"/>
              </w:numPr>
            </w:pPr>
            <w:r>
              <w:t>Fortsat amme-kontaktbesøg</w:t>
            </w:r>
          </w:p>
          <w:p w:rsidR="00974715" w:rsidRDefault="00974715" w:rsidP="007F1510">
            <w:pPr>
              <w:pStyle w:val="Listeafsnit"/>
              <w:numPr>
                <w:ilvl w:val="0"/>
                <w:numId w:val="4"/>
              </w:numPr>
            </w:pPr>
            <w:r>
              <w:t>4-6 månedsbesøg til de orange og røde familier.</w:t>
            </w:r>
          </w:p>
          <w:p w:rsidR="00974715" w:rsidRDefault="007F1510" w:rsidP="007F1510">
            <w:r>
              <w:t xml:space="preserve">Herefter er der 350 t. tilbage til øvrige nye tilbud. </w:t>
            </w:r>
          </w:p>
          <w:p w:rsidR="00974715" w:rsidRDefault="00974715" w:rsidP="007F1510">
            <w:r>
              <w:t xml:space="preserve">( .....udover ovennævnte timer ligger der ca. 200 ti behovsbesøgene, som gives til </w:t>
            </w:r>
          </w:p>
          <w:p w:rsidR="00974715" w:rsidRDefault="00974715" w:rsidP="007F1510">
            <w:r>
              <w:t>4-6 månedsbesøg)</w:t>
            </w:r>
          </w:p>
          <w:p w:rsidR="00974715" w:rsidRDefault="00974715" w:rsidP="007F1510"/>
          <w:p w:rsidR="007F580E" w:rsidRDefault="007F580E" w:rsidP="007F1510">
            <w:r>
              <w:t xml:space="preserve">Anne Lises slides: </w:t>
            </w:r>
          </w:p>
          <w:p w:rsidR="00DB1329" w:rsidRDefault="00DB1329" w:rsidP="00A46DA1">
            <w:r>
              <w:lastRenderedPageBreak/>
              <w:t xml:space="preserve"> </w:t>
            </w:r>
            <w:r w:rsidRPr="00DB1329">
              <w:rPr>
                <w:noProof/>
                <w:lang w:eastAsia="da-DK"/>
              </w:rPr>
              <w:drawing>
                <wp:inline distT="0" distB="0" distL="0" distR="0" wp14:anchorId="7B1A3384" wp14:editId="60D5F86A">
                  <wp:extent cx="3513666" cy="2635250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7416" cy="2645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1329" w:rsidRDefault="007F580E" w:rsidP="00A46DA1">
            <w:r w:rsidRPr="00DB1329">
              <w:rPr>
                <w:noProof/>
                <w:lang w:eastAsia="da-DK"/>
              </w:rPr>
              <w:drawing>
                <wp:inline distT="0" distB="0" distL="0" distR="0" wp14:anchorId="0FD0B2BA" wp14:editId="546532A1">
                  <wp:extent cx="3539066" cy="2654300"/>
                  <wp:effectExtent l="0" t="0" r="4445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3533" cy="2672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1329" w:rsidRDefault="007F580E" w:rsidP="00A46DA1">
            <w:r w:rsidRPr="00DB1329">
              <w:rPr>
                <w:noProof/>
                <w:lang w:eastAsia="da-DK"/>
              </w:rPr>
              <w:drawing>
                <wp:inline distT="0" distB="0" distL="0" distR="0" wp14:anchorId="4E79A94C" wp14:editId="2C60AAEB">
                  <wp:extent cx="3539066" cy="2654300"/>
                  <wp:effectExtent l="0" t="0" r="4445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1340" cy="2671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1329" w:rsidRDefault="00DB1329" w:rsidP="00A46DA1"/>
          <w:p w:rsidR="00DB1329" w:rsidRDefault="00DB1329" w:rsidP="00A46DA1"/>
          <w:p w:rsidR="007F580E" w:rsidRDefault="007F580E" w:rsidP="00A46DA1"/>
          <w:p w:rsidR="00FD15C7" w:rsidRDefault="00FD15C7" w:rsidP="00A46DA1">
            <w:r>
              <w:lastRenderedPageBreak/>
              <w:t xml:space="preserve">FIV – vigtigt at vi tænker det som en integreret del af den samlede pakke til førstegangsfødende, og italesætter det sådan. </w:t>
            </w:r>
          </w:p>
          <w:p w:rsidR="00FD15C7" w:rsidRDefault="00FD15C7" w:rsidP="00FD15C7"/>
          <w:p w:rsidR="00FD15C7" w:rsidRDefault="00FD15C7" w:rsidP="00FD15C7">
            <w:r>
              <w:t xml:space="preserve">Gruppearbejde hvor følgende forslag kom frem: </w:t>
            </w:r>
          </w:p>
          <w:p w:rsidR="00FD15C7" w:rsidRDefault="00FD15C7" w:rsidP="00FD15C7"/>
          <w:p w:rsidR="00FD15C7" w:rsidRDefault="00194A3A" w:rsidP="00FD15C7">
            <w:r w:rsidRPr="00194A3A">
              <w:rPr>
                <w:noProof/>
                <w:lang w:eastAsia="da-DK"/>
              </w:rPr>
              <w:drawing>
                <wp:inline distT="0" distB="0" distL="0" distR="0">
                  <wp:extent cx="3492023" cy="4419600"/>
                  <wp:effectExtent l="0" t="0" r="0" b="0"/>
                  <wp:docPr id="4" name="Billede 4" descr="C:\Users\dq21428\Desktop\17.03.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dq21428\Desktop\17.03.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78"/>
                          <a:stretch/>
                        </pic:blipFill>
                        <pic:spPr bwMode="auto">
                          <a:xfrm>
                            <a:off x="0" y="0"/>
                            <a:ext cx="3500714" cy="443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6C1C" w:rsidRDefault="00736C1C" w:rsidP="00736C1C"/>
          <w:p w:rsidR="007F1510" w:rsidRDefault="007F1510" w:rsidP="007F1510">
            <w:r>
              <w:t xml:space="preserve">Forslag som arbejdsgruppen kigger videre på: </w:t>
            </w:r>
          </w:p>
          <w:p w:rsidR="00FD15C7" w:rsidRDefault="00FD15C7" w:rsidP="009E291E">
            <w:pPr>
              <w:pStyle w:val="Listeafsnit"/>
              <w:numPr>
                <w:ilvl w:val="0"/>
                <w:numId w:val="4"/>
              </w:numPr>
            </w:pPr>
            <w:r>
              <w:t>Besøg i mødregruppe med fokus på kost, motorik mv. 1 time. evt. i decentrale klinikker</w:t>
            </w:r>
            <w:r w:rsidR="007F1510">
              <w:t>. Koster i</w:t>
            </w:r>
            <w:r>
              <w:t xml:space="preserve"> alt ca. 125 t.</w:t>
            </w:r>
          </w:p>
          <w:p w:rsidR="00FD15C7" w:rsidRDefault="00FD15C7" w:rsidP="009E291E">
            <w:pPr>
              <w:pStyle w:val="Listeafsnit"/>
              <w:numPr>
                <w:ilvl w:val="0"/>
                <w:numId w:val="4"/>
              </w:numPr>
            </w:pPr>
            <w:r>
              <w:t>FIV: Ekstra person pr. mødegang. Koster 56 t./gang</w:t>
            </w:r>
            <w:r w:rsidR="00974715">
              <w:t>/ årligt</w:t>
            </w:r>
          </w:p>
          <w:p w:rsidR="00FD15C7" w:rsidRDefault="00FD15C7" w:rsidP="009E291E">
            <w:pPr>
              <w:pStyle w:val="Listeafsnit"/>
              <w:numPr>
                <w:ilvl w:val="0"/>
                <w:numId w:val="4"/>
              </w:numPr>
            </w:pPr>
            <w:r>
              <w:t xml:space="preserve">6 mdr. besøg til alle der ikke er på FIV: </w:t>
            </w:r>
            <w:r w:rsidR="007F1510">
              <w:t xml:space="preserve">Koster </w:t>
            </w:r>
            <w:r>
              <w:t>200 t.</w:t>
            </w:r>
          </w:p>
          <w:p w:rsidR="00FD15C7" w:rsidRDefault="00FD15C7" w:rsidP="00417686"/>
          <w:p w:rsidR="00736C1C" w:rsidRDefault="00736C1C" w:rsidP="00417686">
            <w:r>
              <w:t xml:space="preserve">Andre pointer/ønsker: </w:t>
            </w:r>
          </w:p>
          <w:p w:rsidR="00FD15C7" w:rsidRDefault="00FD15C7" w:rsidP="00736C1C">
            <w:pPr>
              <w:pStyle w:val="Listeafsnit"/>
              <w:numPr>
                <w:ilvl w:val="0"/>
                <w:numId w:val="6"/>
              </w:numPr>
            </w:pPr>
            <w:r>
              <w:t xml:space="preserve">En kliniktid mere? Nogle mangler at kunne henvise familier til en tid, som ikke er akut. </w:t>
            </w:r>
          </w:p>
          <w:p w:rsidR="00FD15C7" w:rsidRDefault="00FD15C7" w:rsidP="00736C1C">
            <w:pPr>
              <w:pStyle w:val="Listeafsnit"/>
              <w:numPr>
                <w:ilvl w:val="0"/>
                <w:numId w:val="6"/>
              </w:numPr>
            </w:pPr>
            <w:r>
              <w:t xml:space="preserve">Mulige ”mini-projekter”, som evt. kan arbejdes videre med: </w:t>
            </w:r>
          </w:p>
          <w:p w:rsidR="00FD15C7" w:rsidRDefault="00FD15C7" w:rsidP="00736C1C">
            <w:pPr>
              <w:pStyle w:val="Listeafsnit"/>
              <w:numPr>
                <w:ilvl w:val="0"/>
                <w:numId w:val="7"/>
              </w:numPr>
            </w:pPr>
            <w:r>
              <w:t>Flere besøg i klinikken, fremfor hjemme (Lisbeth)</w:t>
            </w:r>
          </w:p>
          <w:p w:rsidR="00FD15C7" w:rsidRDefault="00FD15C7" w:rsidP="00736C1C">
            <w:pPr>
              <w:pStyle w:val="Listeafsnit"/>
              <w:numPr>
                <w:ilvl w:val="0"/>
                <w:numId w:val="7"/>
              </w:numPr>
            </w:pPr>
            <w:r>
              <w:t>Telefontid (Trine)</w:t>
            </w:r>
          </w:p>
        </w:tc>
        <w:tc>
          <w:tcPr>
            <w:tcW w:w="1647" w:type="dxa"/>
          </w:tcPr>
          <w:p w:rsidR="00FD15C7" w:rsidRDefault="00FD15C7" w:rsidP="00A46DA1">
            <w:r>
              <w:lastRenderedPageBreak/>
              <w:t xml:space="preserve">En arbejdsgruppe bestående af Vibeke, Elsebeth og Trine går sammen med Anne Lise og udviklingsgruppen videre med de mange input og tager en beslutning, som afprøves. </w:t>
            </w:r>
          </w:p>
        </w:tc>
      </w:tr>
      <w:tr w:rsidR="007F1510" w:rsidTr="00717973">
        <w:tc>
          <w:tcPr>
            <w:tcW w:w="1560" w:type="dxa"/>
          </w:tcPr>
          <w:p w:rsidR="00FD15C7" w:rsidRDefault="00FD15C7" w:rsidP="00E54682">
            <w:pPr>
              <w:rPr>
                <w:b/>
              </w:rPr>
            </w:pPr>
            <w:r>
              <w:rPr>
                <w:b/>
              </w:rPr>
              <w:lastRenderedPageBreak/>
              <w:t>Gennemgang af de faste besøg ift. indhold og fokus</w:t>
            </w:r>
          </w:p>
          <w:p w:rsidR="00FD15C7" w:rsidRPr="002C5587" w:rsidRDefault="00FD15C7" w:rsidP="002C5587">
            <w:pPr>
              <w:rPr>
                <w:b/>
              </w:rPr>
            </w:pPr>
          </w:p>
          <w:p w:rsidR="00FD15C7" w:rsidRPr="005D5602" w:rsidRDefault="00FD15C7" w:rsidP="00A253E2">
            <w:pPr>
              <w:rPr>
                <w:b/>
              </w:rPr>
            </w:pPr>
          </w:p>
        </w:tc>
        <w:tc>
          <w:tcPr>
            <w:tcW w:w="7512" w:type="dxa"/>
          </w:tcPr>
          <w:p w:rsidR="00FD15C7" w:rsidRDefault="00552208" w:rsidP="00A46DA1">
            <w:r>
              <w:lastRenderedPageBreak/>
              <w:t xml:space="preserve">Tre grupper gennemlæste og reviderede retningslinjerne for </w:t>
            </w:r>
            <w:r w:rsidR="00C83409">
              <w:t xml:space="preserve">Barselsbesøg, 2-4 ugers besøg og 2-3 mdr. besøg. </w:t>
            </w:r>
            <w:r w:rsidR="00DB1329">
              <w:t xml:space="preserve">De resterende retningslinjer mangler at blive opdaterede. </w:t>
            </w:r>
          </w:p>
          <w:p w:rsidR="00C83409" w:rsidRDefault="00C83409" w:rsidP="00A46DA1"/>
          <w:p w:rsidR="00C83409" w:rsidRDefault="00C83409" w:rsidP="00A46DA1"/>
        </w:tc>
        <w:tc>
          <w:tcPr>
            <w:tcW w:w="1647" w:type="dxa"/>
          </w:tcPr>
          <w:p w:rsidR="00FD15C7" w:rsidRDefault="00552208" w:rsidP="00A46DA1">
            <w:r>
              <w:t>Grupperne retter retningslinjerne til og sender dem ti</w:t>
            </w:r>
            <w:r w:rsidR="00DB1329">
              <w:t xml:space="preserve">l </w:t>
            </w:r>
            <w:r w:rsidR="00DB1329">
              <w:lastRenderedPageBreak/>
              <w:t xml:space="preserve">Sara/Sundhedsplejens intranet. </w:t>
            </w:r>
          </w:p>
        </w:tc>
      </w:tr>
    </w:tbl>
    <w:p w:rsidR="00595BEE" w:rsidRDefault="00595BEE"/>
    <w:sectPr w:rsidR="00595BEE" w:rsidSect="007F1510">
      <w:footerReference w:type="default" r:id="rId11"/>
      <w:headerReference w:type="first" r:id="rId12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D71" w:rsidRDefault="00686D71" w:rsidP="00BC3F0F">
      <w:pPr>
        <w:spacing w:after="0" w:line="240" w:lineRule="auto"/>
      </w:pPr>
      <w:r>
        <w:separator/>
      </w:r>
    </w:p>
  </w:endnote>
  <w:endnote w:type="continuationSeparator" w:id="0">
    <w:p w:rsidR="00686D71" w:rsidRDefault="00686D71" w:rsidP="00BC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9014821"/>
      <w:docPartObj>
        <w:docPartGallery w:val="Page Numbers (Bottom of Page)"/>
        <w:docPartUnique/>
      </w:docPartObj>
    </w:sdtPr>
    <w:sdtEndPr/>
    <w:sdtContent>
      <w:p w:rsidR="00717973" w:rsidRDefault="0071797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579">
          <w:rPr>
            <w:noProof/>
          </w:rPr>
          <w:t>4</w:t>
        </w:r>
        <w:r>
          <w:fldChar w:fldCharType="end"/>
        </w:r>
      </w:p>
    </w:sdtContent>
  </w:sdt>
  <w:p w:rsidR="00717973" w:rsidRDefault="0071797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D71" w:rsidRDefault="00686D71" w:rsidP="00BC3F0F">
      <w:pPr>
        <w:spacing w:after="0" w:line="240" w:lineRule="auto"/>
      </w:pPr>
      <w:r>
        <w:separator/>
      </w:r>
    </w:p>
  </w:footnote>
  <w:footnote w:type="continuationSeparator" w:id="0">
    <w:p w:rsidR="00686D71" w:rsidRDefault="00686D71" w:rsidP="00BC3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5E2" w:rsidRPr="002B15E2" w:rsidRDefault="00544B91">
    <w:pPr>
      <w:pStyle w:val="Sidehoved"/>
      <w:rPr>
        <w:b/>
        <w:sz w:val="28"/>
        <w:szCs w:val="28"/>
      </w:rPr>
    </w:pPr>
    <w:r>
      <w:rPr>
        <w:b/>
        <w:sz w:val="28"/>
        <w:szCs w:val="28"/>
      </w:rPr>
      <w:t>Udviklingsdag</w:t>
    </w:r>
    <w:r w:rsidR="00BD4920">
      <w:rPr>
        <w:b/>
        <w:sz w:val="28"/>
        <w:szCs w:val="28"/>
      </w:rPr>
      <w:t xml:space="preserve">, spæd- og småbørn. </w:t>
    </w:r>
    <w:r w:rsidR="002911E9">
      <w:rPr>
        <w:b/>
        <w:sz w:val="28"/>
        <w:szCs w:val="28"/>
      </w:rPr>
      <w:t>Tor</w:t>
    </w:r>
    <w:r w:rsidR="00D02F1D">
      <w:rPr>
        <w:b/>
        <w:sz w:val="28"/>
        <w:szCs w:val="28"/>
      </w:rPr>
      <w:t xml:space="preserve">sdag d. </w:t>
    </w:r>
    <w:r>
      <w:rPr>
        <w:b/>
        <w:sz w:val="28"/>
        <w:szCs w:val="28"/>
      </w:rPr>
      <w:t>17</w:t>
    </w:r>
    <w:r w:rsidR="002911E9">
      <w:rPr>
        <w:b/>
        <w:sz w:val="28"/>
        <w:szCs w:val="28"/>
      </w:rPr>
      <w:t>/</w:t>
    </w:r>
    <w:r>
      <w:rPr>
        <w:b/>
        <w:sz w:val="28"/>
        <w:szCs w:val="28"/>
      </w:rPr>
      <w:t>3</w:t>
    </w:r>
    <w:r w:rsidR="00BD4920">
      <w:rPr>
        <w:b/>
        <w:sz w:val="28"/>
        <w:szCs w:val="28"/>
      </w:rPr>
      <w:t xml:space="preserve"> </w:t>
    </w:r>
    <w:r w:rsidR="002B15E2" w:rsidRPr="002B15E2">
      <w:rPr>
        <w:b/>
        <w:sz w:val="28"/>
        <w:szCs w:val="28"/>
      </w:rPr>
      <w:t xml:space="preserve">kl. </w:t>
    </w:r>
    <w:r w:rsidR="00311717">
      <w:rPr>
        <w:b/>
        <w:sz w:val="28"/>
        <w:szCs w:val="28"/>
      </w:rPr>
      <w:t>8.30 – 15.30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7C0F"/>
    <w:multiLevelType w:val="hybridMultilevel"/>
    <w:tmpl w:val="1AE8A9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048C1"/>
    <w:multiLevelType w:val="hybridMultilevel"/>
    <w:tmpl w:val="7542F0E2"/>
    <w:lvl w:ilvl="0" w:tplc="4ABEF0D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63258"/>
    <w:multiLevelType w:val="hybridMultilevel"/>
    <w:tmpl w:val="4A4E06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57682"/>
    <w:multiLevelType w:val="hybridMultilevel"/>
    <w:tmpl w:val="4AA86AD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C14B2E"/>
    <w:multiLevelType w:val="hybridMultilevel"/>
    <w:tmpl w:val="C8FE4B86"/>
    <w:lvl w:ilvl="0" w:tplc="040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F15869"/>
    <w:multiLevelType w:val="hybridMultilevel"/>
    <w:tmpl w:val="D56AD8EC"/>
    <w:lvl w:ilvl="0" w:tplc="94DAD5D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849A1"/>
    <w:multiLevelType w:val="hybridMultilevel"/>
    <w:tmpl w:val="C94E29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oNotDisplayPageBoundarie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0F"/>
    <w:rsid w:val="000036F5"/>
    <w:rsid w:val="00005A91"/>
    <w:rsid w:val="0001215E"/>
    <w:rsid w:val="0004221D"/>
    <w:rsid w:val="00044E92"/>
    <w:rsid w:val="00071C49"/>
    <w:rsid w:val="000B50E9"/>
    <w:rsid w:val="000C054B"/>
    <w:rsid w:val="000D45A9"/>
    <w:rsid w:val="000E4C91"/>
    <w:rsid w:val="001015A4"/>
    <w:rsid w:val="00141142"/>
    <w:rsid w:val="00147DCD"/>
    <w:rsid w:val="00153996"/>
    <w:rsid w:val="001541D8"/>
    <w:rsid w:val="001664E2"/>
    <w:rsid w:val="00181DC9"/>
    <w:rsid w:val="00194A3A"/>
    <w:rsid w:val="001A1049"/>
    <w:rsid w:val="001B1168"/>
    <w:rsid w:val="001D190E"/>
    <w:rsid w:val="001D29AC"/>
    <w:rsid w:val="001F6105"/>
    <w:rsid w:val="00203E07"/>
    <w:rsid w:val="002071B0"/>
    <w:rsid w:val="00216700"/>
    <w:rsid w:val="00216AB6"/>
    <w:rsid w:val="002226A8"/>
    <w:rsid w:val="0022386D"/>
    <w:rsid w:val="00224480"/>
    <w:rsid w:val="0023535B"/>
    <w:rsid w:val="002452C5"/>
    <w:rsid w:val="00262205"/>
    <w:rsid w:val="002911E9"/>
    <w:rsid w:val="002A68F7"/>
    <w:rsid w:val="002B15E2"/>
    <w:rsid w:val="002C5587"/>
    <w:rsid w:val="00311717"/>
    <w:rsid w:val="00327804"/>
    <w:rsid w:val="00335C5B"/>
    <w:rsid w:val="00343270"/>
    <w:rsid w:val="00363F10"/>
    <w:rsid w:val="003651C1"/>
    <w:rsid w:val="0036582A"/>
    <w:rsid w:val="00365C68"/>
    <w:rsid w:val="00374B67"/>
    <w:rsid w:val="003A32C7"/>
    <w:rsid w:val="003D12E2"/>
    <w:rsid w:val="003E4889"/>
    <w:rsid w:val="00417686"/>
    <w:rsid w:val="00420C86"/>
    <w:rsid w:val="00422587"/>
    <w:rsid w:val="004B3430"/>
    <w:rsid w:val="004B633B"/>
    <w:rsid w:val="005041DD"/>
    <w:rsid w:val="005106BD"/>
    <w:rsid w:val="005329DF"/>
    <w:rsid w:val="00544B91"/>
    <w:rsid w:val="00545C38"/>
    <w:rsid w:val="0055054A"/>
    <w:rsid w:val="00552208"/>
    <w:rsid w:val="00560144"/>
    <w:rsid w:val="005622E3"/>
    <w:rsid w:val="00573422"/>
    <w:rsid w:val="0059476F"/>
    <w:rsid w:val="00595BEE"/>
    <w:rsid w:val="005D5602"/>
    <w:rsid w:val="005E736C"/>
    <w:rsid w:val="00601DF2"/>
    <w:rsid w:val="00604B08"/>
    <w:rsid w:val="006062E5"/>
    <w:rsid w:val="006250AA"/>
    <w:rsid w:val="00655235"/>
    <w:rsid w:val="00686D71"/>
    <w:rsid w:val="00694BCE"/>
    <w:rsid w:val="006971A6"/>
    <w:rsid w:val="006C378A"/>
    <w:rsid w:val="00717973"/>
    <w:rsid w:val="00734733"/>
    <w:rsid w:val="00736C1C"/>
    <w:rsid w:val="007452FB"/>
    <w:rsid w:val="007520F6"/>
    <w:rsid w:val="0077361C"/>
    <w:rsid w:val="0077462E"/>
    <w:rsid w:val="00783014"/>
    <w:rsid w:val="007A3E8B"/>
    <w:rsid w:val="007C2F13"/>
    <w:rsid w:val="007C75A2"/>
    <w:rsid w:val="007E1DFB"/>
    <w:rsid w:val="007E6639"/>
    <w:rsid w:val="007F1510"/>
    <w:rsid w:val="007F580E"/>
    <w:rsid w:val="007F6C47"/>
    <w:rsid w:val="00813E55"/>
    <w:rsid w:val="00814B0B"/>
    <w:rsid w:val="00854178"/>
    <w:rsid w:val="0088738F"/>
    <w:rsid w:val="00896E8A"/>
    <w:rsid w:val="008A4634"/>
    <w:rsid w:val="008B29D6"/>
    <w:rsid w:val="008D6524"/>
    <w:rsid w:val="008E2F2B"/>
    <w:rsid w:val="009013BD"/>
    <w:rsid w:val="00911DF7"/>
    <w:rsid w:val="009130B8"/>
    <w:rsid w:val="00935166"/>
    <w:rsid w:val="00974715"/>
    <w:rsid w:val="00984FA0"/>
    <w:rsid w:val="0099005B"/>
    <w:rsid w:val="00997007"/>
    <w:rsid w:val="009B5CB2"/>
    <w:rsid w:val="009C2B7B"/>
    <w:rsid w:val="009D2AFC"/>
    <w:rsid w:val="009D6780"/>
    <w:rsid w:val="009E291E"/>
    <w:rsid w:val="00A2256D"/>
    <w:rsid w:val="00A253E2"/>
    <w:rsid w:val="00A46DA1"/>
    <w:rsid w:val="00A513B6"/>
    <w:rsid w:val="00A61EA9"/>
    <w:rsid w:val="00A82A4D"/>
    <w:rsid w:val="00AF64B2"/>
    <w:rsid w:val="00B3448B"/>
    <w:rsid w:val="00B511D1"/>
    <w:rsid w:val="00B73900"/>
    <w:rsid w:val="00B77123"/>
    <w:rsid w:val="00B808FB"/>
    <w:rsid w:val="00BA4BCB"/>
    <w:rsid w:val="00BA5C6E"/>
    <w:rsid w:val="00BA74D9"/>
    <w:rsid w:val="00BC0926"/>
    <w:rsid w:val="00BC3F0F"/>
    <w:rsid w:val="00BD4920"/>
    <w:rsid w:val="00C146EE"/>
    <w:rsid w:val="00C22EFC"/>
    <w:rsid w:val="00C275E9"/>
    <w:rsid w:val="00C33BEC"/>
    <w:rsid w:val="00C46F6C"/>
    <w:rsid w:val="00C51579"/>
    <w:rsid w:val="00C533B1"/>
    <w:rsid w:val="00C57CA4"/>
    <w:rsid w:val="00C71600"/>
    <w:rsid w:val="00C83409"/>
    <w:rsid w:val="00CC2A9D"/>
    <w:rsid w:val="00CD4ACD"/>
    <w:rsid w:val="00CE3C61"/>
    <w:rsid w:val="00CE6507"/>
    <w:rsid w:val="00CF1412"/>
    <w:rsid w:val="00D02F1D"/>
    <w:rsid w:val="00D10D6F"/>
    <w:rsid w:val="00D144D8"/>
    <w:rsid w:val="00D20716"/>
    <w:rsid w:val="00D3091C"/>
    <w:rsid w:val="00D350F7"/>
    <w:rsid w:val="00D61D0B"/>
    <w:rsid w:val="00D85B1E"/>
    <w:rsid w:val="00D919C2"/>
    <w:rsid w:val="00DA2FC1"/>
    <w:rsid w:val="00DA430E"/>
    <w:rsid w:val="00DB1329"/>
    <w:rsid w:val="00DC01AD"/>
    <w:rsid w:val="00DC2FA4"/>
    <w:rsid w:val="00DC3591"/>
    <w:rsid w:val="00DF182C"/>
    <w:rsid w:val="00DF5841"/>
    <w:rsid w:val="00DF6AFA"/>
    <w:rsid w:val="00E37863"/>
    <w:rsid w:val="00E53227"/>
    <w:rsid w:val="00E54682"/>
    <w:rsid w:val="00E82962"/>
    <w:rsid w:val="00EA2B4E"/>
    <w:rsid w:val="00EA7514"/>
    <w:rsid w:val="00EC23A2"/>
    <w:rsid w:val="00EE76C9"/>
    <w:rsid w:val="00EF2338"/>
    <w:rsid w:val="00F01189"/>
    <w:rsid w:val="00F375C7"/>
    <w:rsid w:val="00F41102"/>
    <w:rsid w:val="00F629A8"/>
    <w:rsid w:val="00F654F4"/>
    <w:rsid w:val="00F741F2"/>
    <w:rsid w:val="00FC7060"/>
    <w:rsid w:val="00FD15C7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B701FDF-C6AD-41F5-8299-57514D12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C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C3F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3F0F"/>
  </w:style>
  <w:style w:type="paragraph" w:styleId="Sidefod">
    <w:name w:val="footer"/>
    <w:basedOn w:val="Normal"/>
    <w:link w:val="SidefodTegn"/>
    <w:uiPriority w:val="99"/>
    <w:unhideWhenUsed/>
    <w:rsid w:val="00BC3F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3F0F"/>
  </w:style>
  <w:style w:type="paragraph" w:styleId="Listeafsnit">
    <w:name w:val="List Paragraph"/>
    <w:basedOn w:val="Normal"/>
    <w:uiPriority w:val="34"/>
    <w:qFormat/>
    <w:rsid w:val="00D10D6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5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5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Lise Buus Nielsen</dc:creator>
  <cp:keywords/>
  <dc:description/>
  <cp:lastModifiedBy>Anne Lise Buus Nielsen</cp:lastModifiedBy>
  <cp:revision>2</cp:revision>
  <cp:lastPrinted>2019-04-04T11:36:00Z</cp:lastPrinted>
  <dcterms:created xsi:type="dcterms:W3CDTF">2022-03-28T05:17:00Z</dcterms:created>
  <dcterms:modified xsi:type="dcterms:W3CDTF">2022-03-28T05:17:00Z</dcterms:modified>
</cp:coreProperties>
</file>