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9334" w14:textId="77777777" w:rsidR="009C033B" w:rsidRPr="009C033B" w:rsidRDefault="009C033B" w:rsidP="005312B3">
      <w:pPr>
        <w:pStyle w:val="Overskrift1"/>
        <w:jc w:val="center"/>
      </w:pPr>
      <w:bookmarkStart w:id="0" w:name="_Toc133839399"/>
      <w:bookmarkStart w:id="1" w:name="_Toc133331506"/>
      <w:r w:rsidRPr="009C033B">
        <w:t>Instruks – Samarbejde med behandlingsansvarlige læger</w:t>
      </w:r>
      <w:bookmarkEnd w:id="0"/>
    </w:p>
    <w:p w14:paraId="04470571" w14:textId="77777777" w:rsidR="009C033B" w:rsidRPr="00552C05" w:rsidRDefault="009C033B" w:rsidP="009C033B">
      <w:pPr>
        <w:rPr>
          <w:rFonts w:eastAsia="Arial"/>
        </w:rPr>
      </w:pPr>
    </w:p>
    <w:tbl>
      <w:tblPr>
        <w:tblW w:w="10666" w:type="dxa"/>
        <w:tblInd w:w="-106" w:type="dxa"/>
        <w:tblCellMar>
          <w:top w:w="7" w:type="dxa"/>
          <w:left w:w="70" w:type="dxa"/>
          <w:right w:w="90" w:type="dxa"/>
        </w:tblCellMar>
        <w:tblLook w:val="0480" w:firstRow="0" w:lastRow="0" w:firstColumn="1" w:lastColumn="0" w:noHBand="0" w:noVBand="1"/>
        <w:tblDescription w:val="Instruks – Samarbejde med behandlingsansvarlige læger"/>
      </w:tblPr>
      <w:tblGrid>
        <w:gridCol w:w="3083"/>
        <w:gridCol w:w="7583"/>
      </w:tblGrid>
      <w:tr w:rsidR="005312B3" w:rsidRPr="00552C05" w14:paraId="27EF8E28" w14:textId="77777777" w:rsidTr="00E13381">
        <w:trPr>
          <w:cantSplit/>
          <w:trHeight w:val="23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5C2389F" w14:textId="76207DE1" w:rsidR="005312B3" w:rsidRPr="00F877E9" w:rsidRDefault="005312B3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2F7F6" w14:textId="6509138F" w:rsidR="005312B3" w:rsidRPr="007F2665" w:rsidRDefault="005312B3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9C033B" w:rsidRPr="00552C05" w14:paraId="46D13D38" w14:textId="77777777" w:rsidTr="00E13381">
        <w:trPr>
          <w:cantSplit/>
          <w:trHeight w:val="66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3A86178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012E1" w14:textId="77777777" w:rsidR="009C033B" w:rsidRPr="00F578A8" w:rsidRDefault="009C033B" w:rsidP="00B45E1D">
            <w:pPr>
              <w:jc w:val="left"/>
              <w:rPr>
                <w:rFonts w:eastAsia="Arial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F578A8">
              <w:rPr>
                <w:rFonts w:eastAsia="Arial"/>
              </w:rPr>
              <w:t>ansat på socialområdet i Randers kommune.</w:t>
            </w:r>
          </w:p>
        </w:tc>
      </w:tr>
      <w:tr w:rsidR="009C033B" w:rsidRPr="00552C05" w14:paraId="348A6B32" w14:textId="77777777" w:rsidTr="00E13381">
        <w:trPr>
          <w:cantSplit/>
          <w:trHeight w:val="22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426745E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rFonts w:eastAsia="Arial"/>
                <w:b/>
                <w:bCs/>
              </w:rPr>
              <w:t xml:space="preserve">Formål </w:t>
            </w:r>
          </w:p>
          <w:p w14:paraId="324B30FC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rFonts w:eastAsia="Tahoma"/>
                <w:b/>
                <w:bCs/>
              </w:rPr>
              <w:t xml:space="preserve"> </w:t>
            </w:r>
          </w:p>
          <w:p w14:paraId="09A31089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rFonts w:eastAsia="Tahoma"/>
                <w:b/>
                <w:bCs/>
              </w:rPr>
              <w:t xml:space="preserve"> </w:t>
            </w:r>
          </w:p>
          <w:p w14:paraId="4FBE1B34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rFonts w:eastAsia="Tahoma"/>
                <w:b/>
                <w:bCs/>
              </w:rPr>
              <w:t xml:space="preserve"> 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68603" w14:textId="04A9F6AD" w:rsidR="009C033B" w:rsidRDefault="009C033B" w:rsidP="00B45E1D">
            <w:pPr>
              <w:jc w:val="left"/>
            </w:pPr>
            <w:r w:rsidRPr="0024119C">
              <w:t>Denne instruks beskriver</w:t>
            </w:r>
            <w:r w:rsidR="00F01A7D">
              <w:t>,</w:t>
            </w:r>
            <w:r w:rsidRPr="0024119C">
              <w:t xml:space="preserve"> hvordan der samarbejdes med behandlingsansvarlig læge, for at sikre</w:t>
            </w:r>
            <w:r>
              <w:t>:</w:t>
            </w:r>
          </w:p>
          <w:p w14:paraId="1FEFFF0D" w14:textId="77777777" w:rsidR="009C033B" w:rsidRDefault="009C033B" w:rsidP="00B45E1D">
            <w:pPr>
              <w:jc w:val="left"/>
            </w:pPr>
          </w:p>
          <w:p w14:paraId="55186705" w14:textId="77777777" w:rsidR="009C033B" w:rsidRDefault="009C033B" w:rsidP="009C033B">
            <w:pPr>
              <w:numPr>
                <w:ilvl w:val="0"/>
                <w:numId w:val="31"/>
              </w:numPr>
              <w:jc w:val="left"/>
            </w:pPr>
            <w:r>
              <w:t>At alt personale har kendskab til krav, kompetence og opgaver i forhold til samarbejdet med praktiserende læger/speciallæger vedr. delegering af lægeordineret behandling.</w:t>
            </w:r>
          </w:p>
          <w:p w14:paraId="243507BB" w14:textId="77777777" w:rsidR="009C033B" w:rsidRDefault="009C033B" w:rsidP="009C033B">
            <w:pPr>
              <w:numPr>
                <w:ilvl w:val="0"/>
                <w:numId w:val="31"/>
              </w:numPr>
              <w:jc w:val="left"/>
            </w:pPr>
            <w:r>
              <w:t>At forebygge utilsigtede hændelser og øge patientsikkerheden</w:t>
            </w:r>
          </w:p>
          <w:p w14:paraId="21764D67" w14:textId="77777777" w:rsidR="009C033B" w:rsidRPr="00506308" w:rsidRDefault="009C033B" w:rsidP="009C033B">
            <w:pPr>
              <w:numPr>
                <w:ilvl w:val="0"/>
                <w:numId w:val="31"/>
              </w:numPr>
              <w:jc w:val="left"/>
            </w:pPr>
            <w:r>
              <w:t>B</w:t>
            </w:r>
            <w:r w:rsidRPr="0024119C">
              <w:t xml:space="preserve">ehandling og kontrol af </w:t>
            </w:r>
            <w:r>
              <w:t>borger</w:t>
            </w:r>
            <w:r w:rsidRPr="0024119C">
              <w:t>nes evt. sygdomme</w:t>
            </w:r>
          </w:p>
          <w:p w14:paraId="5284324C" w14:textId="77777777" w:rsidR="009C033B" w:rsidRPr="00552C05" w:rsidRDefault="009C033B" w:rsidP="00B45E1D">
            <w:pPr>
              <w:jc w:val="left"/>
              <w:rPr>
                <w:rFonts w:eastAsia="Arial"/>
              </w:rPr>
            </w:pPr>
          </w:p>
        </w:tc>
      </w:tr>
      <w:tr w:rsidR="009C033B" w:rsidRPr="00552C05" w14:paraId="54BD1A79" w14:textId="77777777" w:rsidTr="00E13381">
        <w:trPr>
          <w:cantSplit/>
          <w:trHeight w:val="71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D3F31FC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  <w:r w:rsidRPr="00F877E9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5BB3" w14:textId="77777777" w:rsidR="009C033B" w:rsidRPr="00552C05" w:rsidRDefault="009C033B" w:rsidP="00B45E1D">
            <w:pPr>
              <w:jc w:val="left"/>
            </w:pPr>
            <w:r w:rsidRPr="00552C05">
              <w:t>Det er ledelsens ansvar</w:t>
            </w:r>
            <w:r>
              <w:t>,</w:t>
            </w:r>
            <w:r w:rsidRPr="00552C05">
              <w:t xml:space="preserve"> at der foreligger instruks for samarbejde med behandlingsansvarlige læger.</w:t>
            </w:r>
          </w:p>
          <w:p w14:paraId="4A63C2FC" w14:textId="77777777" w:rsidR="009C033B" w:rsidRPr="00552C05" w:rsidRDefault="009C033B" w:rsidP="00B45E1D">
            <w:pPr>
              <w:jc w:val="left"/>
            </w:pPr>
          </w:p>
          <w:p w14:paraId="703C1908" w14:textId="77777777" w:rsidR="009C033B" w:rsidRDefault="009C033B" w:rsidP="00B45E1D">
            <w:pPr>
              <w:jc w:val="left"/>
            </w:pPr>
            <w:r w:rsidRPr="00552C05">
              <w:t>Det er personalets ansvar</w:t>
            </w:r>
            <w:r>
              <w:t>:</w:t>
            </w:r>
            <w:r w:rsidRPr="00552C05">
              <w:t xml:space="preserve"> </w:t>
            </w:r>
          </w:p>
          <w:p w14:paraId="4C993FCB" w14:textId="77777777" w:rsidR="009C033B" w:rsidRDefault="009C033B" w:rsidP="00B45E1D">
            <w:pPr>
              <w:numPr>
                <w:ilvl w:val="0"/>
                <w:numId w:val="32"/>
              </w:numPr>
              <w:jc w:val="left"/>
            </w:pPr>
            <w:r>
              <w:t>A</w:t>
            </w:r>
            <w:r w:rsidRPr="00552C05">
              <w:t>t følge instruksen</w:t>
            </w:r>
          </w:p>
          <w:p w14:paraId="2E311A33" w14:textId="77777777" w:rsidR="009C033B" w:rsidRDefault="009C033B" w:rsidP="00B45E1D">
            <w:pPr>
              <w:numPr>
                <w:ilvl w:val="0"/>
                <w:numId w:val="32"/>
              </w:numPr>
              <w:jc w:val="left"/>
            </w:pPr>
            <w:r>
              <w:t>At der findes tydelig og opdateret dokumentation i Sensum Bosted omkring borgernes medicin og behandling</w:t>
            </w:r>
          </w:p>
          <w:p w14:paraId="2CC6ECFF" w14:textId="77777777" w:rsidR="009C033B" w:rsidRDefault="009C033B" w:rsidP="00B45E1D">
            <w:pPr>
              <w:numPr>
                <w:ilvl w:val="0"/>
                <w:numId w:val="32"/>
              </w:numPr>
              <w:jc w:val="left"/>
            </w:pPr>
            <w:r>
              <w:t>At handle på sundhedsfaglige opgaver ifølge gældende instruks for det specifikke område</w:t>
            </w:r>
          </w:p>
          <w:p w14:paraId="667EBDA3" w14:textId="77777777" w:rsidR="009C033B" w:rsidRDefault="009C033B" w:rsidP="00B45E1D">
            <w:pPr>
              <w:numPr>
                <w:ilvl w:val="0"/>
                <w:numId w:val="32"/>
              </w:numPr>
              <w:jc w:val="left"/>
            </w:pPr>
            <w:r>
              <w:t>At sikre at modtaget oplysninger omkring medicin/behandling dokumenteres i overensstemmelse med ordinationen</w:t>
            </w:r>
          </w:p>
          <w:p w14:paraId="273E0F9A" w14:textId="77777777" w:rsidR="009C033B" w:rsidRPr="008043A2" w:rsidRDefault="009C033B" w:rsidP="00B45E1D">
            <w:pPr>
              <w:numPr>
                <w:ilvl w:val="0"/>
                <w:numId w:val="32"/>
              </w:numPr>
              <w:jc w:val="left"/>
            </w:pPr>
            <w:r w:rsidRPr="008043A2">
              <w:t xml:space="preserve">Hvis personalet bliver opmærksomme på, at </w:t>
            </w:r>
            <w:r>
              <w:t>borger</w:t>
            </w:r>
            <w:r w:rsidRPr="008043A2">
              <w:t>en indtager håndkøbsmedicin, naturlægemidler eller kosttilskud udover det, lægen har ordineret, skal lægen orienteres</w:t>
            </w:r>
          </w:p>
          <w:p w14:paraId="12E94451" w14:textId="77777777" w:rsidR="009C033B" w:rsidRDefault="009C033B" w:rsidP="00B45E1D">
            <w:pPr>
              <w:numPr>
                <w:ilvl w:val="0"/>
                <w:numId w:val="32"/>
              </w:numPr>
              <w:jc w:val="left"/>
            </w:pPr>
            <w:r w:rsidRPr="008043A2">
              <w:t>Personalet har ansvar for at sikre, at der for hver henvendelse til eksterne samarbejdspartner indhentes informeret samtykke og at det indhentede samtykke fremgår af dokumentationen.</w:t>
            </w:r>
          </w:p>
          <w:p w14:paraId="19EE81D6" w14:textId="77777777" w:rsidR="009C033B" w:rsidRPr="002C6E22" w:rsidRDefault="009C033B" w:rsidP="00B45E1D">
            <w:pPr>
              <w:numPr>
                <w:ilvl w:val="0"/>
                <w:numId w:val="32"/>
              </w:numPr>
              <w:jc w:val="left"/>
            </w:pPr>
            <w:r w:rsidRPr="002C6E22">
              <w:rPr>
                <w:rFonts w:eastAsia="Arial"/>
              </w:rPr>
              <w:t>Når du løser sygeplejeindsatser, er du forpligtiget til at udvise omhu og samvittighedsfuldhed og kontakte læge ved tvivlsspørgsmål for herigennem at sikre patientsikkerheden</w:t>
            </w:r>
          </w:p>
          <w:p w14:paraId="6DF7C13C" w14:textId="77777777" w:rsidR="009C033B" w:rsidRPr="00552C05" w:rsidRDefault="009C033B" w:rsidP="00B45E1D">
            <w:pPr>
              <w:ind w:left="720"/>
              <w:jc w:val="left"/>
            </w:pPr>
          </w:p>
        </w:tc>
      </w:tr>
      <w:tr w:rsidR="009C033B" w:rsidRPr="00552C05" w14:paraId="40F38BFE" w14:textId="77777777" w:rsidTr="00E13381">
        <w:trPr>
          <w:cantSplit/>
          <w:trHeight w:val="41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5AD8193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rFonts w:eastAsia="Arial"/>
                <w:b/>
                <w:bCs/>
              </w:rPr>
              <w:lastRenderedPageBreak/>
              <w:t>Procedure</w:t>
            </w:r>
          </w:p>
          <w:p w14:paraId="1C50DAA4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b/>
                <w:bCs/>
              </w:rPr>
              <w:t xml:space="preserve"> </w:t>
            </w:r>
          </w:p>
          <w:p w14:paraId="64E09154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F877E9">
              <w:rPr>
                <w:rFonts w:eastAsia="Tahoma"/>
                <w:b/>
                <w:bCs/>
              </w:rPr>
              <w:t xml:space="preserve"> 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435DC" w14:textId="77777777" w:rsidR="009C033B" w:rsidRDefault="009C033B" w:rsidP="00B45E1D">
            <w:pPr>
              <w:jc w:val="left"/>
              <w:rPr>
                <w:rFonts w:eastAsia="Arial"/>
                <w:color w:val="auto"/>
              </w:rPr>
            </w:pPr>
            <w:r w:rsidRPr="00552C05">
              <w:rPr>
                <w:rFonts w:eastAsia="Arial"/>
              </w:rPr>
              <w:t>Al kontakt og henvendelse fra/til behandlingsansvarlig læge, herunder håndtering af telefonordinationer</w:t>
            </w:r>
            <w:r w:rsidRPr="009623BD">
              <w:rPr>
                <w:rFonts w:eastAsia="Arial"/>
                <w:color w:val="auto"/>
              </w:rPr>
              <w:t>, dokumenteres i Sensum</w:t>
            </w:r>
            <w:r>
              <w:rPr>
                <w:rFonts w:eastAsia="Arial"/>
                <w:color w:val="auto"/>
              </w:rPr>
              <w:t xml:space="preserve"> Bosted</w:t>
            </w:r>
            <w:r w:rsidRPr="009623BD">
              <w:rPr>
                <w:rFonts w:eastAsia="Arial"/>
                <w:color w:val="auto"/>
              </w:rPr>
              <w:t>. Ordinationsændringer, receptfornyelser og ophør af medicin overføres fra FMK til medicinkortet i medicinmodulet</w:t>
            </w:r>
            <w:r>
              <w:rPr>
                <w:rFonts w:eastAsia="Arial"/>
                <w:color w:val="auto"/>
              </w:rPr>
              <w:t>.</w:t>
            </w:r>
          </w:p>
          <w:p w14:paraId="6C02F370" w14:textId="77777777" w:rsidR="009C033B" w:rsidRDefault="009C033B" w:rsidP="00B45E1D">
            <w:pPr>
              <w:jc w:val="left"/>
              <w:rPr>
                <w:rFonts w:eastAsia="Arial"/>
                <w:color w:val="auto"/>
              </w:rPr>
            </w:pPr>
          </w:p>
          <w:p w14:paraId="48420A92" w14:textId="0768F51C" w:rsidR="009C033B" w:rsidRDefault="009C033B" w:rsidP="00B45E1D">
            <w:pPr>
              <w:jc w:val="left"/>
              <w:rPr>
                <w:rFonts w:eastAsia="Arial"/>
                <w:color w:val="auto"/>
              </w:rPr>
            </w:pPr>
            <w:r w:rsidRPr="003A4E43">
              <w:rPr>
                <w:rFonts w:eastAsia="Arial"/>
                <w:color w:val="auto"/>
              </w:rPr>
              <w:t xml:space="preserve">Skriftlig kommunikation med lægen foregår via korrespondancer i </w:t>
            </w:r>
            <w:r>
              <w:rPr>
                <w:rFonts w:eastAsia="Arial"/>
                <w:color w:val="auto"/>
              </w:rPr>
              <w:t xml:space="preserve">Sensum </w:t>
            </w:r>
            <w:r w:rsidRPr="003A4E43">
              <w:rPr>
                <w:rFonts w:eastAsia="Arial"/>
                <w:color w:val="auto"/>
              </w:rPr>
              <w:t>Bosted under Sundhedskommunikation</w:t>
            </w:r>
            <w:r>
              <w:rPr>
                <w:rFonts w:eastAsia="Arial"/>
                <w:color w:val="auto"/>
              </w:rPr>
              <w:t>.</w:t>
            </w:r>
          </w:p>
          <w:p w14:paraId="70385366" w14:textId="78517DC7" w:rsidR="00F01A7D" w:rsidRDefault="00F01A7D" w:rsidP="00B45E1D">
            <w:pPr>
              <w:jc w:val="left"/>
            </w:pPr>
            <w:r w:rsidRPr="00F01A7D">
              <w:rPr>
                <w:highlight w:val="yellow"/>
              </w:rPr>
              <w:t>Tilbuddene er forpligtet til at læse indkomne korrespondancebreve mellem kl. 8-15 på hverdage. De enkelte tilbud skal have etableret en praksis, så denne forpligtigelse overholdes.</w:t>
            </w:r>
          </w:p>
          <w:p w14:paraId="608FF7BB" w14:textId="53F4D668" w:rsidR="00F01A7D" w:rsidRPr="003A4E43" w:rsidRDefault="00F01A7D" w:rsidP="00B45E1D">
            <w:pPr>
              <w:jc w:val="left"/>
              <w:rPr>
                <w:rFonts w:eastAsia="Arial"/>
                <w:color w:val="auto"/>
              </w:rPr>
            </w:pPr>
            <w:r w:rsidRPr="00F01A7D">
              <w:rPr>
                <w:highlight w:val="yellow"/>
              </w:rPr>
              <w:t>Praktiserende læger læser som hovedregel løbende korrespondancebreve på hverdage indenfor almindelig arbejdstid. Svar</w:t>
            </w:r>
            <w:r w:rsidR="008B2D37">
              <w:rPr>
                <w:highlight w:val="yellow"/>
              </w:rPr>
              <w:t xml:space="preserve"> </w:t>
            </w:r>
            <w:r w:rsidRPr="00F01A7D">
              <w:rPr>
                <w:highlight w:val="yellow"/>
              </w:rPr>
              <w:t>tiden kan maksimalt være tre dage, men det tilstræbes, at der handles hurtigere.</w:t>
            </w:r>
            <w:r>
              <w:t xml:space="preserve"> </w:t>
            </w:r>
          </w:p>
          <w:p w14:paraId="289C58AF" w14:textId="77777777" w:rsidR="009C033B" w:rsidRPr="00552C05" w:rsidRDefault="009C033B" w:rsidP="00B45E1D">
            <w:pPr>
              <w:jc w:val="left"/>
              <w:rPr>
                <w:rFonts w:eastAsia="Arial"/>
              </w:rPr>
            </w:pPr>
          </w:p>
          <w:p w14:paraId="1102FCA8" w14:textId="77777777" w:rsidR="009C033B" w:rsidRPr="009623BD" w:rsidRDefault="009C033B" w:rsidP="00B45E1D">
            <w:pPr>
              <w:jc w:val="left"/>
              <w:rPr>
                <w:rFonts w:eastAsia="Arial"/>
                <w:color w:val="auto"/>
              </w:rPr>
            </w:pPr>
            <w:r w:rsidRPr="00552C05">
              <w:rPr>
                <w:rFonts w:eastAsia="Arial"/>
              </w:rPr>
              <w:t xml:space="preserve">Ordinerende læges navn og tilhørsforhold (praksis, afdeling, </w:t>
            </w:r>
            <w:r w:rsidRPr="009623BD">
              <w:rPr>
                <w:rFonts w:eastAsia="Arial"/>
                <w:color w:val="auto"/>
              </w:rPr>
              <w:t>hospital) fremgår af informationslink i FMK.</w:t>
            </w:r>
          </w:p>
          <w:p w14:paraId="2A8C48A4" w14:textId="7B5724C9" w:rsidR="009C033B" w:rsidRPr="009623BD" w:rsidRDefault="009C033B" w:rsidP="00B45E1D">
            <w:pPr>
              <w:jc w:val="left"/>
              <w:rPr>
                <w:rFonts w:eastAsia="Arial"/>
                <w:color w:val="auto"/>
              </w:rPr>
            </w:pPr>
            <w:r w:rsidRPr="00552C05">
              <w:rPr>
                <w:rFonts w:eastAsia="Arial"/>
              </w:rPr>
              <w:t>Mails</w:t>
            </w:r>
            <w:r w:rsidR="008B2D37">
              <w:rPr>
                <w:rFonts w:eastAsia="Arial"/>
              </w:rPr>
              <w:t xml:space="preserve">, </w:t>
            </w:r>
            <w:r w:rsidR="008B2D37" w:rsidRPr="009623BD">
              <w:rPr>
                <w:rFonts w:eastAsia="Arial"/>
                <w:color w:val="auto"/>
              </w:rPr>
              <w:t>epikriser</w:t>
            </w:r>
            <w:r w:rsidR="008B2D37">
              <w:rPr>
                <w:rFonts w:eastAsia="Arial"/>
                <w:color w:val="auto"/>
              </w:rPr>
              <w:t xml:space="preserve">, </w:t>
            </w:r>
            <w:r w:rsidR="008B2D37" w:rsidRPr="009623BD">
              <w:rPr>
                <w:rFonts w:eastAsia="Arial"/>
                <w:color w:val="auto"/>
              </w:rPr>
              <w:t xml:space="preserve">udskrivningsbreve </w:t>
            </w:r>
            <w:r w:rsidRPr="00552C05">
              <w:rPr>
                <w:rFonts w:eastAsia="Arial"/>
              </w:rPr>
              <w:t xml:space="preserve">og </w:t>
            </w:r>
            <w:r w:rsidR="008B2D37">
              <w:rPr>
                <w:rFonts w:eastAsia="Arial"/>
              </w:rPr>
              <w:t>andre henvendelser</w:t>
            </w:r>
            <w:r w:rsidRPr="00552C05">
              <w:rPr>
                <w:rFonts w:eastAsia="Arial"/>
              </w:rPr>
              <w:t xml:space="preserve"> fra </w:t>
            </w:r>
            <w:r w:rsidRPr="009623BD">
              <w:rPr>
                <w:rFonts w:eastAsia="Arial"/>
                <w:color w:val="auto"/>
              </w:rPr>
              <w:t>læge</w:t>
            </w:r>
            <w:r w:rsidR="008B2D37">
              <w:rPr>
                <w:rFonts w:eastAsia="Arial"/>
                <w:color w:val="auto"/>
              </w:rPr>
              <w:t>, hospital etc.</w:t>
            </w:r>
            <w:r w:rsidRPr="009623BD">
              <w:rPr>
                <w:rFonts w:eastAsia="Arial"/>
                <w:color w:val="auto"/>
              </w:rPr>
              <w:t xml:space="preserve"> scannes</w:t>
            </w:r>
            <w:r w:rsidR="008B2D37">
              <w:rPr>
                <w:rFonts w:eastAsia="Arial"/>
                <w:color w:val="auto"/>
              </w:rPr>
              <w:t>/lægges</w:t>
            </w:r>
            <w:r w:rsidRPr="009623BD">
              <w:rPr>
                <w:rFonts w:eastAsia="Arial"/>
                <w:color w:val="auto"/>
              </w:rPr>
              <w:t xml:space="preserve"> ind under borgernes dokumenter.</w:t>
            </w:r>
          </w:p>
          <w:p w14:paraId="62CB8CB9" w14:textId="77777777" w:rsidR="009C033B" w:rsidRPr="00552C05" w:rsidRDefault="009C033B" w:rsidP="00B45E1D">
            <w:pPr>
              <w:jc w:val="left"/>
              <w:rPr>
                <w:rFonts w:eastAsia="Arial"/>
              </w:rPr>
            </w:pPr>
          </w:p>
          <w:p w14:paraId="08569B40" w14:textId="77777777" w:rsidR="00667209" w:rsidRDefault="009C033B" w:rsidP="00B45E1D">
            <w:pPr>
              <w:jc w:val="left"/>
              <w:rPr>
                <w:rFonts w:eastAsia="Arial"/>
              </w:rPr>
            </w:pPr>
            <w:r w:rsidRPr="00552C05">
              <w:rPr>
                <w:rFonts w:eastAsia="Arial"/>
              </w:rPr>
              <w:t xml:space="preserve">Alle </w:t>
            </w:r>
            <w:r>
              <w:rPr>
                <w:rFonts w:eastAsia="Arial"/>
              </w:rPr>
              <w:t>borger</w:t>
            </w:r>
            <w:r w:rsidRPr="00552C05">
              <w:rPr>
                <w:rFonts w:eastAsia="Arial"/>
              </w:rPr>
              <w:t xml:space="preserve">e skal have en årlig medicingennemgang </w:t>
            </w:r>
            <w:r>
              <w:rPr>
                <w:rFonts w:eastAsia="Arial"/>
              </w:rPr>
              <w:t>af</w:t>
            </w:r>
            <w:r w:rsidRPr="00552C05">
              <w:rPr>
                <w:rFonts w:eastAsia="Arial"/>
              </w:rPr>
              <w:t xml:space="preserve"> egen læge med henblik på gennemgang og revision af den ordinerede medicin og kontrol af behandlingens virkning og bivirkning</w:t>
            </w:r>
            <w:r>
              <w:rPr>
                <w:rFonts w:eastAsia="Arial"/>
              </w:rPr>
              <w:t xml:space="preserve">. </w:t>
            </w:r>
            <w:r w:rsidRPr="00A948FE">
              <w:rPr>
                <w:rFonts w:eastAsia="Arial"/>
              </w:rPr>
              <w:t>Borger</w:t>
            </w:r>
            <w:r>
              <w:rPr>
                <w:rFonts w:eastAsia="Arial"/>
              </w:rPr>
              <w:t>e</w:t>
            </w:r>
            <w:r w:rsidRPr="00A948FE">
              <w:rPr>
                <w:rFonts w:eastAsia="Arial"/>
              </w:rPr>
              <w:t xml:space="preserve"> på bosteder tilbydes et sundhedstjek hvert </w:t>
            </w:r>
            <w:r>
              <w:rPr>
                <w:rFonts w:eastAsia="Arial"/>
              </w:rPr>
              <w:t xml:space="preserve">til hvert </w:t>
            </w:r>
            <w:r w:rsidRPr="00A948FE">
              <w:rPr>
                <w:rFonts w:eastAsia="Arial"/>
              </w:rPr>
              <w:t>andet år.</w:t>
            </w:r>
            <w:r>
              <w:rPr>
                <w:rFonts w:eastAsia="Arial"/>
              </w:rPr>
              <w:t xml:space="preserve"> </w:t>
            </w:r>
          </w:p>
          <w:p w14:paraId="35E28A8C" w14:textId="11446801" w:rsidR="009C033B" w:rsidRPr="00667209" w:rsidRDefault="009C033B" w:rsidP="00B45E1D">
            <w:pPr>
              <w:jc w:val="left"/>
              <w:rPr>
                <w:rFonts w:eastAsia="Arial"/>
                <w:i/>
                <w:iCs/>
              </w:rPr>
            </w:pPr>
            <w:r w:rsidRPr="00667209">
              <w:rPr>
                <w:rFonts w:eastAsia="Arial"/>
                <w:i/>
                <w:iCs/>
              </w:rPr>
              <w:t>Se instruks om sundhedstjek.</w:t>
            </w:r>
          </w:p>
          <w:p w14:paraId="4EE9E191" w14:textId="77777777" w:rsidR="009C033B" w:rsidRDefault="009C033B" w:rsidP="00B45E1D">
            <w:pPr>
              <w:jc w:val="left"/>
              <w:rPr>
                <w:rFonts w:eastAsia="Arial"/>
              </w:rPr>
            </w:pPr>
          </w:p>
          <w:p w14:paraId="2FC5C198" w14:textId="77777777" w:rsidR="001506E6" w:rsidRDefault="009C033B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FMK kontrolleres altid mhp. </w:t>
            </w:r>
            <w:r w:rsidR="001506E6">
              <w:rPr>
                <w:rFonts w:eastAsia="Arial"/>
              </w:rPr>
              <w:t xml:space="preserve">eventuelle </w:t>
            </w:r>
            <w:r>
              <w:rPr>
                <w:rFonts w:eastAsia="Arial"/>
              </w:rPr>
              <w:t xml:space="preserve">ændringer, når borger har været i kontakt med </w:t>
            </w:r>
            <w:r w:rsidR="001506E6">
              <w:rPr>
                <w:rFonts w:eastAsia="Arial"/>
              </w:rPr>
              <w:t>egen læge</w:t>
            </w:r>
            <w:r>
              <w:rPr>
                <w:rFonts w:eastAsia="Arial"/>
              </w:rPr>
              <w:t xml:space="preserve">, ambulatorier, speciallæger eller efter indlæggelse. </w:t>
            </w:r>
          </w:p>
          <w:p w14:paraId="3FC80CB8" w14:textId="77777777" w:rsidR="001506E6" w:rsidRDefault="001506E6" w:rsidP="00B45E1D">
            <w:pPr>
              <w:jc w:val="left"/>
              <w:rPr>
                <w:rFonts w:eastAsia="Arial"/>
              </w:rPr>
            </w:pPr>
          </w:p>
          <w:p w14:paraId="7D7F672A" w14:textId="3D11818A" w:rsidR="009C033B" w:rsidRDefault="001506E6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FMK k</w:t>
            </w:r>
            <w:r w:rsidR="009C033B">
              <w:rPr>
                <w:rFonts w:eastAsia="Arial"/>
              </w:rPr>
              <w:t xml:space="preserve">ontrolleres </w:t>
            </w:r>
            <w:r>
              <w:rPr>
                <w:rFonts w:eastAsia="Arial"/>
              </w:rPr>
              <w:t>altid</w:t>
            </w:r>
            <w:r w:rsidR="009C033B">
              <w:rPr>
                <w:rFonts w:eastAsia="Arial"/>
              </w:rPr>
              <w:t xml:space="preserve"> før medicind</w:t>
            </w:r>
            <w:r w:rsidR="00667209">
              <w:rPr>
                <w:rFonts w:eastAsia="Arial"/>
              </w:rPr>
              <w:t>ispen</w:t>
            </w:r>
            <w:r w:rsidR="004030A7">
              <w:rPr>
                <w:rFonts w:eastAsia="Arial"/>
              </w:rPr>
              <w:t>s</w:t>
            </w:r>
            <w:r w:rsidR="00667209">
              <w:rPr>
                <w:rFonts w:eastAsia="Arial"/>
              </w:rPr>
              <w:t>ering</w:t>
            </w:r>
            <w:r w:rsidR="009C033B">
              <w:rPr>
                <w:rFonts w:eastAsia="Arial"/>
              </w:rPr>
              <w:t xml:space="preserve"> og ved modtagelse af dosisdispenseret medicin.</w:t>
            </w:r>
          </w:p>
          <w:p w14:paraId="1BA5C141" w14:textId="77777777" w:rsidR="009C033B" w:rsidRPr="00E35A5D" w:rsidRDefault="009C033B" w:rsidP="00B45E1D">
            <w:pPr>
              <w:jc w:val="left"/>
              <w:rPr>
                <w:rFonts w:eastAsia="Arial"/>
              </w:rPr>
            </w:pPr>
          </w:p>
        </w:tc>
      </w:tr>
      <w:tr w:rsidR="009C033B" w:rsidRPr="00552C05" w14:paraId="4BF0668D" w14:textId="77777777" w:rsidTr="00E13381">
        <w:trPr>
          <w:cantSplit/>
          <w:trHeight w:val="41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A4E5DA6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  <w:r w:rsidRPr="00F877E9">
              <w:rPr>
                <w:rFonts w:eastAsia="Arial"/>
                <w:b/>
                <w:bCs/>
              </w:rPr>
              <w:t>Litteraturreferencer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B82FF" w14:textId="77777777" w:rsidR="009C033B" w:rsidRDefault="009C033B" w:rsidP="00B45E1D">
            <w:pPr>
              <w:jc w:val="left"/>
              <w:rPr>
                <w:rFonts w:eastAsia="Arial"/>
              </w:rPr>
            </w:pPr>
            <w:r w:rsidRPr="007D332D">
              <w:rPr>
                <w:rFonts w:eastAsia="Arial"/>
              </w:rPr>
              <w:t>Bekendtgørelse om autoriserede sundhedspersoners patientjournaler</w:t>
            </w:r>
            <w:r>
              <w:rPr>
                <w:rFonts w:eastAsia="Arial"/>
              </w:rPr>
              <w:t xml:space="preserve">, </w:t>
            </w:r>
            <w:r w:rsidRPr="007D332D">
              <w:rPr>
                <w:rFonts w:eastAsia="Arial"/>
              </w:rPr>
              <w:t>(journalføring, opbevaring, videregivelse, overdragelse m.v.), BEK nr. 1225 af 08/06/2021</w:t>
            </w:r>
            <w:r>
              <w:rPr>
                <w:rFonts w:eastAsia="Arial"/>
              </w:rPr>
              <w:t xml:space="preserve"> </w:t>
            </w:r>
            <w:hyperlink r:id="rId8" w:history="1">
              <w:r w:rsidRPr="006D7AED">
                <w:rPr>
                  <w:rStyle w:val="Hyperlink"/>
                  <w:rFonts w:eastAsia="Arial"/>
                </w:rPr>
                <w:t>https://www.retsinformation.dk/eli/lta/2021/1225</w:t>
              </w:r>
            </w:hyperlink>
          </w:p>
          <w:p w14:paraId="368D345F" w14:textId="77777777" w:rsidR="009C033B" w:rsidRDefault="009C033B" w:rsidP="00B45E1D">
            <w:pPr>
              <w:jc w:val="left"/>
              <w:rPr>
                <w:rFonts w:eastAsia="Arial"/>
              </w:rPr>
            </w:pPr>
          </w:p>
          <w:p w14:paraId="621F0224" w14:textId="77777777" w:rsidR="009C033B" w:rsidRDefault="009C033B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Vejledning om sygeplejefaglig journalføring (Til personale der varetager sygeplejefaglige opgaver), VEJ nr. 9521af 1. juli 2021 </w:t>
            </w:r>
            <w:hyperlink r:id="rId9" w:history="1">
              <w:r w:rsidRPr="006D7AED">
                <w:rPr>
                  <w:rStyle w:val="Hyperlink"/>
                  <w:rFonts w:eastAsia="Arial"/>
                </w:rPr>
                <w:t>https://www.retsinformation.dk/eli/retsinfo/2021/9521</w:t>
              </w:r>
            </w:hyperlink>
          </w:p>
          <w:p w14:paraId="5AA212EA" w14:textId="77777777" w:rsidR="009C033B" w:rsidRDefault="009C033B" w:rsidP="00B45E1D">
            <w:pPr>
              <w:jc w:val="left"/>
              <w:rPr>
                <w:rFonts w:eastAsia="Arial"/>
              </w:rPr>
            </w:pPr>
          </w:p>
          <w:p w14:paraId="5F8E4944" w14:textId="77777777" w:rsidR="009C033B" w:rsidRDefault="009C033B" w:rsidP="00F01A7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Bekendtgørelse om autoriserede sundhedspersoners benyttelse af medhjælp (delegation af forbeholdt sundhedsfaglig virksomhed), BEK nr. 1219 af 11. december 2009 </w:t>
            </w:r>
            <w:hyperlink r:id="rId10" w:history="1">
              <w:r w:rsidRPr="006D7AED">
                <w:rPr>
                  <w:rStyle w:val="Hyperlink"/>
                  <w:rFonts w:eastAsia="Arial"/>
                </w:rPr>
                <w:t>https://www.retsinformation.dk/eli/lta/2009/1219</w:t>
              </w:r>
            </w:hyperlink>
          </w:p>
          <w:p w14:paraId="699E01E3" w14:textId="77777777" w:rsidR="00F01A7D" w:rsidRDefault="00F01A7D" w:rsidP="00F01A7D">
            <w:pPr>
              <w:jc w:val="left"/>
              <w:rPr>
                <w:rFonts w:eastAsia="Arial"/>
              </w:rPr>
            </w:pPr>
          </w:p>
          <w:p w14:paraId="5B8D0472" w14:textId="76000870" w:rsidR="00F01A7D" w:rsidRPr="00552C05" w:rsidRDefault="00F01A7D" w:rsidP="00F01A7D">
            <w:pPr>
              <w:jc w:val="left"/>
              <w:rPr>
                <w:rFonts w:eastAsia="Arial"/>
              </w:rPr>
            </w:pPr>
          </w:p>
        </w:tc>
      </w:tr>
      <w:tr w:rsidR="00F01A7D" w:rsidRPr="00552C05" w14:paraId="04CAAD50" w14:textId="77777777" w:rsidTr="00E13381">
        <w:trPr>
          <w:cantSplit/>
          <w:trHeight w:val="41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C81A877" w14:textId="00FE4F40" w:rsidR="00F01A7D" w:rsidRPr="00F877E9" w:rsidRDefault="00F01A7D" w:rsidP="00B45E1D">
            <w:pPr>
              <w:jc w:val="left"/>
              <w:rPr>
                <w:rFonts w:eastAsia="Arial"/>
                <w:b/>
                <w:bCs/>
              </w:rPr>
            </w:pPr>
            <w:r w:rsidRPr="008733E2">
              <w:rPr>
                <w:b/>
                <w:bCs/>
              </w:rPr>
              <w:t>Supplerende litteratur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7C9AF" w14:textId="77777777" w:rsidR="00F01A7D" w:rsidRDefault="00F01A7D" w:rsidP="00F01A7D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Sundhedsaftalen 2019-2023 – Rammeaftale for anvendelse af korrespondancebreve </w:t>
            </w:r>
          </w:p>
          <w:p w14:paraId="00F10DDA" w14:textId="77777777" w:rsidR="00F01A7D" w:rsidRDefault="00000000" w:rsidP="00F01A7D">
            <w:pPr>
              <w:spacing w:after="120"/>
              <w:jc w:val="left"/>
              <w:rPr>
                <w:rFonts w:cs="Calibri"/>
              </w:rPr>
            </w:pPr>
            <w:hyperlink r:id="rId11" w:history="1">
              <w:r w:rsidR="00F01A7D" w:rsidRPr="002B183B">
                <w:rPr>
                  <w:rStyle w:val="Hyperlink"/>
                  <w:rFonts w:cs="Calibri"/>
                </w:rPr>
                <w:t>https://www.sundhedsaftalen.rm.dk/siteassets/aftale-2019-2023/samarbejdsaftaler/korrespondancebreve/aftale-om-anvendelse-af-korrespondancebreve.pdf</w:t>
              </w:r>
            </w:hyperlink>
          </w:p>
          <w:p w14:paraId="0528AEE8" w14:textId="77777777" w:rsidR="00F01A7D" w:rsidRPr="007D332D" w:rsidRDefault="00F01A7D" w:rsidP="00B45E1D">
            <w:pPr>
              <w:jc w:val="left"/>
              <w:rPr>
                <w:rFonts w:eastAsia="Arial"/>
              </w:rPr>
            </w:pPr>
          </w:p>
        </w:tc>
      </w:tr>
      <w:tr w:rsidR="009C033B" w:rsidRPr="00063F99" w14:paraId="72B1CAB3" w14:textId="77777777" w:rsidTr="00E13381">
        <w:trPr>
          <w:cantSplit/>
          <w:trHeight w:val="1152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09B0098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  <w:r w:rsidRPr="00F877E9">
              <w:rPr>
                <w:rFonts w:eastAsia="Arial"/>
                <w:b/>
                <w:bCs/>
              </w:rPr>
              <w:lastRenderedPageBreak/>
              <w:t>Udarbejdet den:</w:t>
            </w:r>
          </w:p>
          <w:p w14:paraId="3572AB19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B1ABCCC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  <w:r w:rsidRPr="00F877E9">
              <w:rPr>
                <w:rFonts w:eastAsia="Arial"/>
                <w:b/>
                <w:bCs/>
              </w:rPr>
              <w:t>Udarbejdet af:</w:t>
            </w:r>
          </w:p>
          <w:p w14:paraId="1BC98201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1C8D1411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6B479063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  <w:r w:rsidRPr="00F877E9">
              <w:rPr>
                <w:rFonts w:eastAsia="Arial"/>
                <w:b/>
                <w:bCs/>
              </w:rPr>
              <w:t>Sidst revideret:</w:t>
            </w:r>
          </w:p>
          <w:p w14:paraId="337B195B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14888769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  <w:r w:rsidRPr="00F877E9">
              <w:rPr>
                <w:rFonts w:eastAsia="Arial"/>
                <w:b/>
                <w:bCs/>
              </w:rPr>
              <w:t>Revideres inden:</w:t>
            </w:r>
          </w:p>
          <w:p w14:paraId="54BF8855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52DDFFC4" w14:textId="77777777" w:rsidR="009C033B" w:rsidRPr="00F877E9" w:rsidRDefault="009C033B" w:rsidP="00B45E1D">
            <w:pPr>
              <w:jc w:val="left"/>
              <w:rPr>
                <w:rFonts w:eastAsia="Arial"/>
                <w:b/>
                <w:bCs/>
              </w:rPr>
            </w:pPr>
            <w:r w:rsidRPr="00F877E9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9E8B5" w14:textId="77777777" w:rsidR="009C033B" w:rsidRDefault="009C033B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76512DCF" w14:textId="77777777" w:rsidR="009C033B" w:rsidRDefault="009C033B" w:rsidP="00B45E1D">
            <w:pPr>
              <w:jc w:val="left"/>
              <w:rPr>
                <w:rFonts w:eastAsia="Arial"/>
              </w:rPr>
            </w:pPr>
          </w:p>
          <w:p w14:paraId="23575809" w14:textId="5CFD0B40" w:rsidR="009C033B" w:rsidRPr="00FF0EB0" w:rsidRDefault="009C033B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Grete Ølgaard </w:t>
            </w:r>
            <w:r w:rsidR="00290815">
              <w:rPr>
                <w:rFonts w:eastAsia="Arial"/>
              </w:rPr>
              <w:t>s</w:t>
            </w:r>
            <w:r>
              <w:rPr>
                <w:rFonts w:eastAsia="Arial"/>
              </w:rPr>
              <w:t xml:space="preserve">ygeplejerske, Anne Skov kvalitetssygeplejerske og Ghita </w:t>
            </w:r>
            <w:r w:rsidRPr="00FF0EB0">
              <w:rPr>
                <w:rFonts w:eastAsia="Arial"/>
              </w:rPr>
              <w:t xml:space="preserve">Steenholt </w:t>
            </w:r>
            <w:r w:rsidR="00290815">
              <w:rPr>
                <w:rFonts w:eastAsia="Arial"/>
              </w:rPr>
              <w:t>sundhedsfaglig koordinator</w:t>
            </w:r>
            <w:r>
              <w:rPr>
                <w:rFonts w:eastAsia="Arial"/>
              </w:rPr>
              <w:t>.</w:t>
            </w:r>
          </w:p>
          <w:p w14:paraId="68D9123B" w14:textId="77777777" w:rsidR="009C033B" w:rsidRDefault="009C033B" w:rsidP="00B45E1D">
            <w:pPr>
              <w:jc w:val="left"/>
              <w:rPr>
                <w:rFonts w:eastAsia="Arial"/>
              </w:rPr>
            </w:pPr>
          </w:p>
          <w:p w14:paraId="6A9D4DC7" w14:textId="389D7BE9" w:rsidR="009C033B" w:rsidRDefault="0066720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november</w:t>
            </w:r>
            <w:r w:rsidR="009C033B">
              <w:rPr>
                <w:rFonts w:eastAsia="Arial"/>
              </w:rPr>
              <w:t xml:space="preserve"> 2023</w:t>
            </w:r>
          </w:p>
          <w:p w14:paraId="2FBDBE29" w14:textId="77777777" w:rsidR="009C033B" w:rsidRDefault="009C033B" w:rsidP="00B45E1D">
            <w:pPr>
              <w:jc w:val="left"/>
              <w:rPr>
                <w:rFonts w:eastAsia="Arial"/>
              </w:rPr>
            </w:pPr>
          </w:p>
          <w:p w14:paraId="1D34EFD5" w14:textId="37FFC52F" w:rsidR="009C033B" w:rsidRDefault="009C033B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 w:rsidR="00667209">
              <w:rPr>
                <w:rFonts w:eastAsia="Arial"/>
              </w:rPr>
              <w:t>n</w:t>
            </w:r>
            <w:r w:rsidR="00786068">
              <w:rPr>
                <w:rFonts w:eastAsia="Arial"/>
              </w:rPr>
              <w:t>o</w:t>
            </w:r>
            <w:r w:rsidR="00667209">
              <w:rPr>
                <w:rFonts w:eastAsia="Arial"/>
              </w:rPr>
              <w:t>vember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12E1760E" w14:textId="77777777" w:rsidR="009C033B" w:rsidRDefault="009C033B" w:rsidP="00B45E1D">
            <w:pPr>
              <w:jc w:val="left"/>
              <w:rPr>
                <w:rFonts w:eastAsia="Arial"/>
              </w:rPr>
            </w:pPr>
          </w:p>
          <w:p w14:paraId="6E7AA8FC" w14:textId="77777777" w:rsidR="009C033B" w:rsidRPr="00063F99" w:rsidRDefault="009C033B" w:rsidP="00B45E1D">
            <w:pPr>
              <w:jc w:val="left"/>
              <w:rPr>
                <w:rFonts w:eastAsia="Arial"/>
              </w:rPr>
            </w:pPr>
            <w:r w:rsidRPr="001149E4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1149E4">
              <w:rPr>
                <w:rFonts w:eastAsia="Arial"/>
              </w:rPr>
              <w:t>ocialchefen</w:t>
            </w:r>
          </w:p>
        </w:tc>
      </w:tr>
    </w:tbl>
    <w:p w14:paraId="29BA184F" w14:textId="77777777" w:rsidR="009C033B" w:rsidRDefault="009C033B" w:rsidP="009C033B">
      <w:pPr>
        <w:rPr>
          <w:rFonts w:eastAsia="Arial"/>
        </w:rPr>
      </w:pPr>
    </w:p>
    <w:bookmarkEnd w:id="1"/>
    <w:p w14:paraId="786E3657" w14:textId="77777777" w:rsidR="009C033B" w:rsidRDefault="009C033B" w:rsidP="005312B3"/>
    <w:sectPr w:rsidR="009C033B" w:rsidSect="006F51D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04F2" w14:textId="77777777" w:rsidR="00340C7C" w:rsidRDefault="00340C7C" w:rsidP="005312B3">
      <w:r>
        <w:separator/>
      </w:r>
    </w:p>
  </w:endnote>
  <w:endnote w:type="continuationSeparator" w:id="0">
    <w:p w14:paraId="7CF36696" w14:textId="77777777" w:rsidR="00340C7C" w:rsidRDefault="00340C7C" w:rsidP="0053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9F4D" w14:textId="77777777" w:rsidR="00340C7C" w:rsidRDefault="00340C7C" w:rsidP="005312B3">
      <w:r>
        <w:separator/>
      </w:r>
    </w:p>
  </w:footnote>
  <w:footnote w:type="continuationSeparator" w:id="0">
    <w:p w14:paraId="5F2230CB" w14:textId="77777777" w:rsidR="00340C7C" w:rsidRDefault="00340C7C" w:rsidP="0053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893A" w14:textId="21377C2C" w:rsidR="005312B3" w:rsidRPr="005312B3" w:rsidRDefault="005312B3" w:rsidP="005312B3">
    <w:pPr>
      <w:pStyle w:val="Sidehoved"/>
    </w:pPr>
    <w:bookmarkStart w:id="2" w:name="_Hlk134434342"/>
    <w:r w:rsidRPr="002614B0">
      <w:rPr>
        <w:noProof/>
      </w:rPr>
      <w:drawing>
        <wp:inline distT="0" distB="0" distL="0" distR="0" wp14:anchorId="727CA543" wp14:editId="59C8421B">
          <wp:extent cx="1647825" cy="145786"/>
          <wp:effectExtent l="0" t="0" r="0" b="6985"/>
          <wp:docPr id="12" name="Billed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17" cy="15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 w:rsidRPr="000F602F">
      <w:rPr>
        <w:noProof/>
      </w:rPr>
      <w:drawing>
        <wp:inline distT="0" distB="0" distL="0" distR="0" wp14:anchorId="62127C2C" wp14:editId="3343E434">
          <wp:extent cx="598023" cy="713967"/>
          <wp:effectExtent l="0" t="0" r="0" b="0"/>
          <wp:docPr id="13" name="Billed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28" cy="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D5E"/>
    <w:multiLevelType w:val="hybridMultilevel"/>
    <w:tmpl w:val="C7243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1676A"/>
    <w:multiLevelType w:val="hybridMultilevel"/>
    <w:tmpl w:val="374CE8BA"/>
    <w:lvl w:ilvl="0" w:tplc="F82C5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2C93"/>
    <w:multiLevelType w:val="hybridMultilevel"/>
    <w:tmpl w:val="9F9CB65A"/>
    <w:lvl w:ilvl="0" w:tplc="0406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48E7CCD"/>
    <w:multiLevelType w:val="hybridMultilevel"/>
    <w:tmpl w:val="47B09A6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DA4706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E4D"/>
    <w:multiLevelType w:val="hybridMultilevel"/>
    <w:tmpl w:val="802C99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E4584"/>
    <w:multiLevelType w:val="hybridMultilevel"/>
    <w:tmpl w:val="410E2886"/>
    <w:lvl w:ilvl="0" w:tplc="F82C5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12090"/>
    <w:multiLevelType w:val="multilevel"/>
    <w:tmpl w:val="C4186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867C1"/>
    <w:multiLevelType w:val="hybridMultilevel"/>
    <w:tmpl w:val="691A8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934"/>
    <w:multiLevelType w:val="hybridMultilevel"/>
    <w:tmpl w:val="11B46326"/>
    <w:lvl w:ilvl="0" w:tplc="F82C5688">
      <w:start w:val="1"/>
      <w:numFmt w:val="bullet"/>
      <w:lvlText w:val="-"/>
      <w:lvlJc w:val="left"/>
      <w:pPr>
        <w:ind w:left="72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23E59F8"/>
    <w:multiLevelType w:val="hybridMultilevel"/>
    <w:tmpl w:val="92006C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E5A9B"/>
    <w:multiLevelType w:val="multilevel"/>
    <w:tmpl w:val="6F08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708FF"/>
    <w:multiLevelType w:val="hybridMultilevel"/>
    <w:tmpl w:val="947E42B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510A9"/>
    <w:multiLevelType w:val="hybridMultilevel"/>
    <w:tmpl w:val="88AA4F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42CC7"/>
    <w:multiLevelType w:val="hybridMultilevel"/>
    <w:tmpl w:val="2692233A"/>
    <w:lvl w:ilvl="0" w:tplc="F82C5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46A8E"/>
    <w:multiLevelType w:val="hybridMultilevel"/>
    <w:tmpl w:val="76E6DAA6"/>
    <w:lvl w:ilvl="0" w:tplc="0406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6" w15:restartNumberingAfterBreak="0">
    <w:nsid w:val="3CA717D0"/>
    <w:multiLevelType w:val="hybridMultilevel"/>
    <w:tmpl w:val="BB2897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97A95"/>
    <w:multiLevelType w:val="hybridMultilevel"/>
    <w:tmpl w:val="E9725C1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0F13"/>
    <w:multiLevelType w:val="hybridMultilevel"/>
    <w:tmpl w:val="DD7A3C7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A0EC0"/>
    <w:multiLevelType w:val="hybridMultilevel"/>
    <w:tmpl w:val="36D88F3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10013"/>
    <w:multiLevelType w:val="hybridMultilevel"/>
    <w:tmpl w:val="0302BABE"/>
    <w:lvl w:ilvl="0" w:tplc="F82C5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16BC4"/>
    <w:multiLevelType w:val="hybridMultilevel"/>
    <w:tmpl w:val="35D0C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304AD"/>
    <w:multiLevelType w:val="hybridMultilevel"/>
    <w:tmpl w:val="5B3CA11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9050D"/>
    <w:multiLevelType w:val="hybridMultilevel"/>
    <w:tmpl w:val="D2C8F098"/>
    <w:lvl w:ilvl="0" w:tplc="0406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D146E36"/>
    <w:multiLevelType w:val="hybridMultilevel"/>
    <w:tmpl w:val="30405724"/>
    <w:lvl w:ilvl="0" w:tplc="0406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733A5847"/>
    <w:multiLevelType w:val="hybridMultilevel"/>
    <w:tmpl w:val="94588A32"/>
    <w:lvl w:ilvl="0" w:tplc="0406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4D90414"/>
    <w:multiLevelType w:val="hybridMultilevel"/>
    <w:tmpl w:val="2280FFB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95BD4"/>
    <w:multiLevelType w:val="hybridMultilevel"/>
    <w:tmpl w:val="533A70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9B2973"/>
    <w:multiLevelType w:val="hybridMultilevel"/>
    <w:tmpl w:val="9E6AEB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C926CC"/>
    <w:multiLevelType w:val="hybridMultilevel"/>
    <w:tmpl w:val="25C8E654"/>
    <w:lvl w:ilvl="0" w:tplc="0406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688264774">
    <w:abstractNumId w:val="23"/>
  </w:num>
  <w:num w:numId="2" w16cid:durableId="62531116">
    <w:abstractNumId w:val="17"/>
  </w:num>
  <w:num w:numId="3" w16cid:durableId="217133303">
    <w:abstractNumId w:val="1"/>
  </w:num>
  <w:num w:numId="4" w16cid:durableId="841435912">
    <w:abstractNumId w:val="31"/>
  </w:num>
  <w:num w:numId="5" w16cid:durableId="1127356782">
    <w:abstractNumId w:val="25"/>
  </w:num>
  <w:num w:numId="6" w16cid:durableId="1261915160">
    <w:abstractNumId w:val="26"/>
  </w:num>
  <w:num w:numId="7" w16cid:durableId="327833360">
    <w:abstractNumId w:val="15"/>
  </w:num>
  <w:num w:numId="8" w16cid:durableId="922840249">
    <w:abstractNumId w:val="18"/>
  </w:num>
  <w:num w:numId="9" w16cid:durableId="1422414346">
    <w:abstractNumId w:val="0"/>
  </w:num>
  <w:num w:numId="10" w16cid:durableId="236015355">
    <w:abstractNumId w:val="28"/>
  </w:num>
  <w:num w:numId="11" w16cid:durableId="1039814806">
    <w:abstractNumId w:val="4"/>
  </w:num>
  <w:num w:numId="12" w16cid:durableId="558714497">
    <w:abstractNumId w:val="10"/>
  </w:num>
  <w:num w:numId="13" w16cid:durableId="2106225522">
    <w:abstractNumId w:val="13"/>
  </w:num>
  <w:num w:numId="14" w16cid:durableId="904682077">
    <w:abstractNumId w:val="16"/>
  </w:num>
  <w:num w:numId="15" w16cid:durableId="1637297900">
    <w:abstractNumId w:val="29"/>
  </w:num>
  <w:num w:numId="16" w16cid:durableId="1593975367">
    <w:abstractNumId w:val="3"/>
  </w:num>
  <w:num w:numId="17" w16cid:durableId="1145779754">
    <w:abstractNumId w:val="8"/>
  </w:num>
  <w:num w:numId="18" w16cid:durableId="1478495025">
    <w:abstractNumId w:val="27"/>
  </w:num>
  <w:num w:numId="19" w16cid:durableId="1998992153">
    <w:abstractNumId w:val="11"/>
  </w:num>
  <w:num w:numId="20" w16cid:durableId="174001240">
    <w:abstractNumId w:val="7"/>
  </w:num>
  <w:num w:numId="21" w16cid:durableId="934749465">
    <w:abstractNumId w:val="22"/>
  </w:num>
  <w:num w:numId="22" w16cid:durableId="1842039252">
    <w:abstractNumId w:val="9"/>
  </w:num>
  <w:num w:numId="23" w16cid:durableId="1757555728">
    <w:abstractNumId w:val="21"/>
  </w:num>
  <w:num w:numId="24" w16cid:durableId="415710411">
    <w:abstractNumId w:val="30"/>
  </w:num>
  <w:num w:numId="25" w16cid:durableId="1772161338">
    <w:abstractNumId w:val="2"/>
  </w:num>
  <w:num w:numId="26" w16cid:durableId="344944182">
    <w:abstractNumId w:val="6"/>
  </w:num>
  <w:num w:numId="27" w16cid:durableId="1803767348">
    <w:abstractNumId w:val="14"/>
  </w:num>
  <w:num w:numId="28" w16cid:durableId="1878471805">
    <w:abstractNumId w:val="5"/>
  </w:num>
  <w:num w:numId="29" w16cid:durableId="1806503997">
    <w:abstractNumId w:val="19"/>
  </w:num>
  <w:num w:numId="30" w16cid:durableId="534805036">
    <w:abstractNumId w:val="20"/>
  </w:num>
  <w:num w:numId="31" w16cid:durableId="1184436103">
    <w:abstractNumId w:val="24"/>
  </w:num>
  <w:num w:numId="32" w16cid:durableId="1541164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1-21T09:52:06.9906573+01:00&quot;,&quot;Checksum&quot;:&quot;403d6d8e38a464579fdba5008e6ad8e0&quot;,&quot;IsAccessible&quot;:true,&quot;Settings&quot;:{&quot;CreatePdfUa&quot;:2}}"/>
    <w:docVar w:name="Encrypted_CloudStatistics_StoryID" w:val="Hz2vdIcH8Rbdzw5PDFqoYokZ3lH3bON1vWPIgG3SqxzWSxER1rgVASZXFFm6pu1H"/>
  </w:docVars>
  <w:rsids>
    <w:rsidRoot w:val="000E4372"/>
    <w:rsid w:val="00000197"/>
    <w:rsid w:val="00026A2F"/>
    <w:rsid w:val="00054019"/>
    <w:rsid w:val="00066DD5"/>
    <w:rsid w:val="000709EE"/>
    <w:rsid w:val="000936E1"/>
    <w:rsid w:val="000D2EDD"/>
    <w:rsid w:val="000E4372"/>
    <w:rsid w:val="000F1719"/>
    <w:rsid w:val="001506E6"/>
    <w:rsid w:val="0017025C"/>
    <w:rsid w:val="001C3517"/>
    <w:rsid w:val="001D25A8"/>
    <w:rsid w:val="00220F62"/>
    <w:rsid w:val="00231828"/>
    <w:rsid w:val="00243D7F"/>
    <w:rsid w:val="002514C0"/>
    <w:rsid w:val="00276922"/>
    <w:rsid w:val="00276DE1"/>
    <w:rsid w:val="00290815"/>
    <w:rsid w:val="002D4B0A"/>
    <w:rsid w:val="002E78DD"/>
    <w:rsid w:val="002F0D0E"/>
    <w:rsid w:val="0033655E"/>
    <w:rsid w:val="00340C7C"/>
    <w:rsid w:val="003A392B"/>
    <w:rsid w:val="003B0C7B"/>
    <w:rsid w:val="003B62D8"/>
    <w:rsid w:val="003E0EF6"/>
    <w:rsid w:val="003E49D9"/>
    <w:rsid w:val="003F15B5"/>
    <w:rsid w:val="004030A7"/>
    <w:rsid w:val="00432D40"/>
    <w:rsid w:val="00455117"/>
    <w:rsid w:val="004E20F1"/>
    <w:rsid w:val="005134C4"/>
    <w:rsid w:val="00525822"/>
    <w:rsid w:val="005312B3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66F95"/>
    <w:rsid w:val="00667209"/>
    <w:rsid w:val="00667645"/>
    <w:rsid w:val="00690571"/>
    <w:rsid w:val="006A4619"/>
    <w:rsid w:val="006A5736"/>
    <w:rsid w:val="006F51DD"/>
    <w:rsid w:val="006F5B38"/>
    <w:rsid w:val="00701696"/>
    <w:rsid w:val="00773E87"/>
    <w:rsid w:val="00774043"/>
    <w:rsid w:val="00786068"/>
    <w:rsid w:val="00787009"/>
    <w:rsid w:val="007C4F2F"/>
    <w:rsid w:val="007F1645"/>
    <w:rsid w:val="00802086"/>
    <w:rsid w:val="008731AA"/>
    <w:rsid w:val="00884868"/>
    <w:rsid w:val="008A67DE"/>
    <w:rsid w:val="008B2D37"/>
    <w:rsid w:val="008E5007"/>
    <w:rsid w:val="009016E6"/>
    <w:rsid w:val="00910A72"/>
    <w:rsid w:val="00914DB1"/>
    <w:rsid w:val="009231C3"/>
    <w:rsid w:val="00930803"/>
    <w:rsid w:val="00975907"/>
    <w:rsid w:val="009B24FF"/>
    <w:rsid w:val="009C033B"/>
    <w:rsid w:val="009C19D6"/>
    <w:rsid w:val="009C285A"/>
    <w:rsid w:val="009F6F6E"/>
    <w:rsid w:val="00A12D5B"/>
    <w:rsid w:val="00A26A87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B71A6F"/>
    <w:rsid w:val="00C15955"/>
    <w:rsid w:val="00C20C48"/>
    <w:rsid w:val="00C95685"/>
    <w:rsid w:val="00CD0E88"/>
    <w:rsid w:val="00CF3959"/>
    <w:rsid w:val="00D35B1D"/>
    <w:rsid w:val="00D5554B"/>
    <w:rsid w:val="00D8092E"/>
    <w:rsid w:val="00DA043B"/>
    <w:rsid w:val="00DE02E4"/>
    <w:rsid w:val="00DF25A6"/>
    <w:rsid w:val="00E10A47"/>
    <w:rsid w:val="00E13381"/>
    <w:rsid w:val="00E9551B"/>
    <w:rsid w:val="00E96DE6"/>
    <w:rsid w:val="00EA4F7F"/>
    <w:rsid w:val="00ED1CF5"/>
    <w:rsid w:val="00ED253D"/>
    <w:rsid w:val="00F01A7D"/>
    <w:rsid w:val="00F03F24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312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12B3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312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12B3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1/12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ndhedsaftalen.rm.dk/siteassets/aftale-2019-2023/samarbejdsaftaler/korrespondancebreve/aftale-om-anvendelse-af-korrespondancebrev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lta/2009/1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retsinfo/2021/95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4041</Characters>
  <Application>Microsoft Office Word</Application>
  <DocSecurity>0</DocSecurity>
  <Lines>118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Samarbejde med behandlingsansvarlige læger</dc:title>
  <dc:subject/>
  <dc:creator>Ghita Marianne Steenholt</dc:creator>
  <cp:keywords/>
  <dc:description/>
  <cp:lastModifiedBy>Jesper Kjersgaard Nielsen</cp:lastModifiedBy>
  <cp:revision>11</cp:revision>
  <dcterms:created xsi:type="dcterms:W3CDTF">2023-11-06T11:57:00Z</dcterms:created>
  <dcterms:modified xsi:type="dcterms:W3CDTF">2023-11-21T08:52:00Z</dcterms:modified>
</cp:coreProperties>
</file>